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2713" w14:textId="77777777" w:rsidR="00880230" w:rsidRDefault="00880230" w:rsidP="00880230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农业硕士畜牧领域学术成果认定标准</w:t>
      </w:r>
    </w:p>
    <w:p w14:paraId="04D6FB1E" w14:textId="6F7327E6" w:rsidR="00880230" w:rsidRDefault="00880230" w:rsidP="00880230">
      <w:pPr>
        <w:spacing w:beforeLines="50" w:before="156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学位论文</w:t>
      </w:r>
      <w:r w:rsidR="002E629E">
        <w:rPr>
          <w:rFonts w:ascii="仿宋_GB2312" w:eastAsia="仿宋_GB2312" w:hAnsi="Times New Roman" w:cs="Times New Roman" w:hint="eastAsia"/>
          <w:sz w:val="32"/>
          <w:szCs w:val="32"/>
        </w:rPr>
        <w:t>或实践</w:t>
      </w:r>
      <w:proofErr w:type="gramStart"/>
      <w:r w:rsidR="002E629E">
        <w:rPr>
          <w:rFonts w:ascii="仿宋_GB2312" w:eastAsia="仿宋_GB2312" w:hAnsi="Times New Roman" w:cs="Times New Roman" w:hint="eastAsia"/>
          <w:sz w:val="32"/>
          <w:szCs w:val="32"/>
        </w:rPr>
        <w:t>成果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盲审通过</w:t>
      </w:r>
      <w:proofErr w:type="gramEnd"/>
      <w:r>
        <w:rPr>
          <w:rFonts w:ascii="Times New Roman" w:eastAsia="仿宋" w:hAnsi="Times New Roman" w:cs="Times New Roman"/>
          <w:kern w:val="0"/>
          <w:sz w:val="32"/>
          <w:szCs w:val="32"/>
        </w:rPr>
        <w:t>但结果不全为优秀者，</w:t>
      </w:r>
      <w:bookmarkStart w:id="0" w:name="_Hlk86741925"/>
      <w:r>
        <w:rPr>
          <w:rFonts w:ascii="Times New Roman" w:eastAsia="仿宋" w:hAnsi="Times New Roman" w:cs="Times New Roman"/>
          <w:kern w:val="0"/>
          <w:sz w:val="32"/>
          <w:szCs w:val="32"/>
        </w:rPr>
        <w:t>学术成果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满足下列条件之一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方可申请学位。</w:t>
      </w:r>
      <w:bookmarkEnd w:id="0"/>
    </w:p>
    <w:p w14:paraId="466C6113" w14:textId="77777777" w:rsidR="00880230" w:rsidRDefault="00880230" w:rsidP="00880230">
      <w:pPr>
        <w:numPr>
          <w:ilvl w:val="0"/>
          <w:numId w:val="6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以第一作者在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国内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核心期刊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、入选中国科技期刊卓越行动计划期刊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或《中国牛业科学》《畜牧兽医杂志》《北方蚕业》发表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研究性学术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篇。</w:t>
      </w:r>
    </w:p>
    <w:p w14:paraId="46D4F210" w14:textId="77777777" w:rsidR="00880230" w:rsidRPr="003E5A7F" w:rsidRDefault="00880230" w:rsidP="00880230">
      <w:pPr>
        <w:numPr>
          <w:ilvl w:val="0"/>
          <w:numId w:val="6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 w:rsidRPr="003E5A7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以第一作者或共同第一作者在我校认定的</w:t>
      </w:r>
      <w:r w:rsidRPr="003E5A7F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G1</w:t>
      </w:r>
      <w:r w:rsidRPr="003E5A7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自然科学类高质量期刊发表学术研究论文</w:t>
      </w:r>
      <w:r w:rsidRPr="003E5A7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1</w:t>
      </w:r>
      <w:r w:rsidRPr="003E5A7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篇。</w:t>
      </w:r>
    </w:p>
    <w:p w14:paraId="725739AF" w14:textId="77777777" w:rsidR="00880230" w:rsidRDefault="00880230" w:rsidP="00880230">
      <w:pPr>
        <w:numPr>
          <w:ilvl w:val="0"/>
          <w:numId w:val="6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在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EI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检索期刊、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中科院大类三区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及以上期刊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发表学术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性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篇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，且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排序为前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4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位（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或前五位，其导师须为前四位作者之一）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。</w:t>
      </w:r>
    </w:p>
    <w:p w14:paraId="174CE1AB" w14:textId="77777777" w:rsidR="00880230" w:rsidRDefault="00880230" w:rsidP="00880230">
      <w:pPr>
        <w:numPr>
          <w:ilvl w:val="0"/>
          <w:numId w:val="6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获省部级及以上科技成果奖励（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需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持证书）。</w:t>
      </w:r>
    </w:p>
    <w:p w14:paraId="7B7A1098" w14:textId="77777777" w:rsidR="00880230" w:rsidRDefault="00880230" w:rsidP="00880230">
      <w:pPr>
        <w:numPr>
          <w:ilvl w:val="0"/>
          <w:numId w:val="6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授权或进入实质审查阶段的国家发明专利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件，排序为前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位。</w:t>
      </w:r>
    </w:p>
    <w:p w14:paraId="14DB8F42" w14:textId="77777777" w:rsidR="00880230" w:rsidRDefault="00880230" w:rsidP="00880230">
      <w:pPr>
        <w:numPr>
          <w:ilvl w:val="0"/>
          <w:numId w:val="6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获省部级及以上各类学科竞赛或创新创业项目（以西北农林科技大学教务处认定为准）最高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级别奖前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，第二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级别奖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。</w:t>
      </w:r>
    </w:p>
    <w:p w14:paraId="46138A27" w14:textId="77777777" w:rsidR="00880230" w:rsidRDefault="00880230" w:rsidP="00880230">
      <w:pPr>
        <w:numPr>
          <w:ilvl w:val="0"/>
          <w:numId w:val="6"/>
        </w:numPr>
        <w:spacing w:line="560" w:lineRule="exact"/>
        <w:ind w:firstLine="640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参与制定国际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行业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省级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团体标准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，或以学位论文相关内容获得软件著作权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，由学生本人提出书面申请、导师同意，且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相关证明材料经学位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评定分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委员会审定通过。</w:t>
      </w:r>
    </w:p>
    <w:p w14:paraId="76A7D654" w14:textId="77777777" w:rsidR="00880230" w:rsidRDefault="00880230" w:rsidP="00880230">
      <w:pPr>
        <w:numPr>
          <w:ilvl w:val="0"/>
          <w:numId w:val="6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不满足上述条件，但达到或超过学校培养方案规定的基本修业年限，且学生本人认为论文达到硕士学位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论文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水平的，由学生本人提出书面申请、导师同意，由学位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评定分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委员会依据申请材料研判学位论文是否解决学科或研究方向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重要的科学或技术问题，采用无记名投票方式表决，获得参会成员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2/3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以上同意者视为通过，方可进入学位申请流程。</w:t>
      </w:r>
    </w:p>
    <w:p w14:paraId="2B8F8FF2" w14:textId="6EC34822" w:rsidR="00880230" w:rsidRPr="00551C29" w:rsidRDefault="00880230" w:rsidP="00551C29">
      <w:pPr>
        <w:spacing w:line="560" w:lineRule="exact"/>
        <w:ind w:firstLineChars="200" w:firstLine="643"/>
        <w:textAlignment w:val="baseline"/>
        <w:rPr>
          <w:rFonts w:ascii="Times New Roman" w:hAnsi="Times New Roman" w:cs="Times New Roman" w:hint="eastAsia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32"/>
          <w:szCs w:val="32"/>
        </w:rPr>
        <w:t>学术成果署名要求：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学术成果必须是研究生攻读相应学位期间在导师指导下完成，以西北农林科技大学为第一署名单位，并且内容与申请者学位论文研究内容相关。</w:t>
      </w:r>
      <w:r w:rsidRPr="0049507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论文必须是导师为通讯作者或者共同通讯作者的研究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性</w:t>
      </w:r>
      <w:r w:rsidRPr="0049507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学术论文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bookmarkStart w:id="1" w:name="_GoBack"/>
      <w:bookmarkEnd w:id="1"/>
    </w:p>
    <w:sectPr w:rsidR="00880230" w:rsidRPr="0055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FB39" w14:textId="77777777" w:rsidR="00002F94" w:rsidRDefault="00002F94" w:rsidP="00880230">
      <w:r>
        <w:separator/>
      </w:r>
    </w:p>
  </w:endnote>
  <w:endnote w:type="continuationSeparator" w:id="0">
    <w:p w14:paraId="15AC22FB" w14:textId="77777777" w:rsidR="00002F94" w:rsidRDefault="00002F94" w:rsidP="0088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4F2C9" w14:textId="77777777" w:rsidR="00002F94" w:rsidRDefault="00002F94" w:rsidP="00880230">
      <w:r>
        <w:separator/>
      </w:r>
    </w:p>
  </w:footnote>
  <w:footnote w:type="continuationSeparator" w:id="0">
    <w:p w14:paraId="21EA95C6" w14:textId="77777777" w:rsidR="00002F94" w:rsidRDefault="00002F94" w:rsidP="0088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1ABBEC"/>
    <w:multiLevelType w:val="singleLevel"/>
    <w:tmpl w:val="861ABBEC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E1784B0"/>
    <w:multiLevelType w:val="singleLevel"/>
    <w:tmpl w:val="BE1784B0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C7B9D26A"/>
    <w:multiLevelType w:val="singleLevel"/>
    <w:tmpl w:val="C7B9D26A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15B3C3C4"/>
    <w:multiLevelType w:val="singleLevel"/>
    <w:tmpl w:val="15B3C3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81BBDD3"/>
    <w:multiLevelType w:val="singleLevel"/>
    <w:tmpl w:val="381BBDD3"/>
    <w:lvl w:ilvl="0">
      <w:start w:val="4"/>
      <w:numFmt w:val="decimal"/>
      <w:suff w:val="nothing"/>
      <w:lvlText w:val="%1）"/>
      <w:lvlJc w:val="left"/>
    </w:lvl>
  </w:abstractNum>
  <w:abstractNum w:abstractNumId="5" w15:restartNumberingAfterBreak="0">
    <w:nsid w:val="78FAFFD6"/>
    <w:multiLevelType w:val="singleLevel"/>
    <w:tmpl w:val="78FAFFD6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F90D5C"/>
    <w:rsid w:val="00002F94"/>
    <w:rsid w:val="00055C87"/>
    <w:rsid w:val="002E629E"/>
    <w:rsid w:val="00375332"/>
    <w:rsid w:val="004046FA"/>
    <w:rsid w:val="00551C29"/>
    <w:rsid w:val="00880230"/>
    <w:rsid w:val="00944883"/>
    <w:rsid w:val="00A7547D"/>
    <w:rsid w:val="027D0D7E"/>
    <w:rsid w:val="0644117D"/>
    <w:rsid w:val="082963EE"/>
    <w:rsid w:val="08D5350B"/>
    <w:rsid w:val="08E32C9A"/>
    <w:rsid w:val="0965038B"/>
    <w:rsid w:val="0A776080"/>
    <w:rsid w:val="0AC30636"/>
    <w:rsid w:val="0F5026C2"/>
    <w:rsid w:val="0FB61CA3"/>
    <w:rsid w:val="14CF5677"/>
    <w:rsid w:val="15173AA9"/>
    <w:rsid w:val="17CA7D07"/>
    <w:rsid w:val="194E61C5"/>
    <w:rsid w:val="1DA14320"/>
    <w:rsid w:val="1DBA2C3C"/>
    <w:rsid w:val="1E1134BE"/>
    <w:rsid w:val="1EA1702E"/>
    <w:rsid w:val="1F796FEE"/>
    <w:rsid w:val="2342170A"/>
    <w:rsid w:val="23E1514B"/>
    <w:rsid w:val="29A671EA"/>
    <w:rsid w:val="2B284EE5"/>
    <w:rsid w:val="2DC17480"/>
    <w:rsid w:val="2F1E0F32"/>
    <w:rsid w:val="319042B2"/>
    <w:rsid w:val="31F90D5C"/>
    <w:rsid w:val="331F53A7"/>
    <w:rsid w:val="35543291"/>
    <w:rsid w:val="361707B5"/>
    <w:rsid w:val="36181117"/>
    <w:rsid w:val="37C60704"/>
    <w:rsid w:val="3954746A"/>
    <w:rsid w:val="3A32355C"/>
    <w:rsid w:val="3A50422A"/>
    <w:rsid w:val="42552980"/>
    <w:rsid w:val="44FE5207"/>
    <w:rsid w:val="468D725E"/>
    <w:rsid w:val="50B047F4"/>
    <w:rsid w:val="5A494B51"/>
    <w:rsid w:val="5D2B526A"/>
    <w:rsid w:val="5D932A91"/>
    <w:rsid w:val="61A82AA5"/>
    <w:rsid w:val="631F1174"/>
    <w:rsid w:val="65231C0C"/>
    <w:rsid w:val="665F5F74"/>
    <w:rsid w:val="67D765FD"/>
    <w:rsid w:val="69C51CD9"/>
    <w:rsid w:val="6B012F21"/>
    <w:rsid w:val="6C4920FB"/>
    <w:rsid w:val="6F6170C9"/>
    <w:rsid w:val="772F52CF"/>
    <w:rsid w:val="7D252D31"/>
    <w:rsid w:val="7EE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514F4"/>
  <w15:docId w15:val="{CE87953C-A8D9-476B-BA44-47029AC6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880230"/>
    <w:pPr>
      <w:widowControl/>
      <w:spacing w:after="0"/>
      <w:ind w:leftChars="0" w:left="0"/>
      <w:jc w:val="center"/>
      <w:outlineLvl w:val="0"/>
    </w:pPr>
    <w:rPr>
      <w:rFonts w:ascii="宋体" w:eastAsia="方正小标宋简体" w:hAnsi="宋体" w:cs="宋体"/>
      <w:kern w:val="36"/>
      <w:sz w:val="36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"/>
    <w:qFormat/>
    <w:pPr>
      <w:jc w:val="left"/>
    </w:pPr>
  </w:style>
  <w:style w:type="character" w:styleId="a5">
    <w:name w:val="annotation reference"/>
    <w:basedOn w:val="a1"/>
    <w:qFormat/>
    <w:rPr>
      <w:sz w:val="21"/>
      <w:szCs w:val="21"/>
    </w:rPr>
  </w:style>
  <w:style w:type="paragraph" w:styleId="a6">
    <w:name w:val="header"/>
    <w:basedOn w:val="a"/>
    <w:link w:val="a7"/>
    <w:rsid w:val="00880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8802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80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88023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1"/>
    <w:link w:val="1"/>
    <w:rsid w:val="00880230"/>
    <w:rPr>
      <w:rFonts w:ascii="宋体" w:eastAsia="方正小标宋简体" w:hAnsi="宋体" w:cs="宋体"/>
      <w:kern w:val="36"/>
      <w:sz w:val="36"/>
      <w:szCs w:val="48"/>
    </w:rPr>
  </w:style>
  <w:style w:type="paragraph" w:styleId="aa">
    <w:name w:val="Normal (Web)"/>
    <w:basedOn w:val="a"/>
    <w:uiPriority w:val="99"/>
    <w:qFormat/>
    <w:rsid w:val="00880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0">
    <w:name w:val="Body Text Indent"/>
    <w:basedOn w:val="a"/>
    <w:link w:val="ab"/>
    <w:rsid w:val="00880230"/>
    <w:pPr>
      <w:spacing w:after="120"/>
      <w:ind w:leftChars="200" w:left="420"/>
    </w:pPr>
  </w:style>
  <w:style w:type="character" w:customStyle="1" w:styleId="ab">
    <w:name w:val="正文文本缩进 字符"/>
    <w:basedOn w:val="a1"/>
    <w:link w:val="a0"/>
    <w:rsid w:val="0088023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贾彦哲</dc:creator>
  <cp:lastModifiedBy>杨永政</cp:lastModifiedBy>
  <cp:revision>5</cp:revision>
  <dcterms:created xsi:type="dcterms:W3CDTF">2025-05-22T13:00:00Z</dcterms:created>
  <dcterms:modified xsi:type="dcterms:W3CDTF">2025-12-24T01:28:00Z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F0939A702E534D69A55D08330D148197_13</vt:lpwstr>
  </property>
  <property fmtid="{D5CDD505-2E9C-101B-9397-08002B2CF9AE}" pid="4" name="KSOTemplateDocerSaveRecord">
    <vt:lpwstr>eyJoZGlkIjoiNjZjMDA2ZjBmYTk1MDUxOWNlYTY4MzIzYjBiOGE3MDUiLCJ1c2VySWQiOiIxNjYyNTQ0ODgyIn0=</vt:lpwstr>
  </property>
</Properties>
</file>