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022D6">
      <w:pPr>
        <w:spacing w:line="560" w:lineRule="exact"/>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w:t>
      </w:r>
    </w:p>
    <w:p w14:paraId="4F9E2D18">
      <w:pPr>
        <w:spacing w:line="560" w:lineRule="exact"/>
        <w:jc w:val="center"/>
        <w:rPr>
          <w:rFonts w:ascii="方正小标宋简体" w:hAnsi="仿宋" w:eastAsia="方正小标宋简体" w:cs="仿宋"/>
          <w:sz w:val="44"/>
          <w:szCs w:val="44"/>
        </w:rPr>
      </w:pPr>
      <w:r>
        <w:rPr>
          <w:rFonts w:hint="eastAsia" w:ascii="方正小标宋简体" w:hAnsi="仿宋" w:eastAsia="方正小标宋简体" w:cs="仿宋"/>
          <w:sz w:val="44"/>
          <w:szCs w:val="44"/>
        </w:rPr>
        <w:t>教育教学改革研究项目立项指南</w:t>
      </w:r>
    </w:p>
    <w:p w14:paraId="58053E72">
      <w:pPr>
        <w:spacing w:line="560" w:lineRule="exact"/>
        <w:jc w:val="center"/>
        <w:rPr>
          <w:rFonts w:ascii="仿宋" w:hAnsi="仿宋" w:eastAsia="仿宋"/>
          <w:sz w:val="36"/>
          <w:szCs w:val="36"/>
        </w:rPr>
      </w:pPr>
      <w:r>
        <w:rPr>
          <w:rFonts w:hint="eastAsia" w:ascii="仿宋" w:hAnsi="仿宋" w:eastAsia="仿宋"/>
          <w:bCs/>
          <w:sz w:val="36"/>
          <w:szCs w:val="36"/>
        </w:rPr>
        <w:t>（</w:t>
      </w:r>
      <w:r>
        <w:rPr>
          <w:rFonts w:ascii="仿宋" w:hAnsi="仿宋" w:eastAsia="仿宋"/>
          <w:bCs/>
          <w:sz w:val="36"/>
          <w:szCs w:val="36"/>
        </w:rPr>
        <w:t>202</w:t>
      </w:r>
      <w:r>
        <w:rPr>
          <w:rFonts w:hint="eastAsia" w:ascii="仿宋" w:hAnsi="仿宋" w:eastAsia="仿宋"/>
          <w:bCs/>
          <w:sz w:val="36"/>
          <w:szCs w:val="36"/>
        </w:rPr>
        <w:t>5年）</w:t>
      </w:r>
    </w:p>
    <w:p w14:paraId="28165208">
      <w:pPr>
        <w:spacing w:before="156" w:beforeLines="50" w:line="520" w:lineRule="exact"/>
        <w:ind w:firstLine="640" w:firstLineChars="200"/>
        <w:rPr>
          <w:rFonts w:ascii="仿宋" w:hAnsi="仿宋" w:eastAsia="仿宋" w:cs="仿宋"/>
          <w:sz w:val="32"/>
          <w:szCs w:val="32"/>
        </w:rPr>
      </w:pPr>
      <w:r>
        <w:rPr>
          <w:rFonts w:hint="eastAsia" w:ascii="仿宋" w:hAnsi="仿宋" w:eastAsia="仿宋" w:cs="仿宋"/>
          <w:sz w:val="32"/>
          <w:szCs w:val="32"/>
        </w:rPr>
        <w:t>为做好2025年度学校教育教学改革研究项目立项工作，特制定本指南。指南列出的选题方向非具体的项目名称。申请人根据本指南，结合学校和本单位实际，确定项目名称，须覆盖选题方向下的研究内容及考核指标。</w:t>
      </w:r>
    </w:p>
    <w:p w14:paraId="4D01D409">
      <w:pPr>
        <w:spacing w:before="156" w:beforeLines="50" w:after="156" w:afterLines="50" w:line="520" w:lineRule="exact"/>
        <w:jc w:val="center"/>
        <w:rPr>
          <w:rFonts w:ascii="黑体" w:hAnsi="黑体" w:eastAsia="黑体" w:cs="黑体"/>
          <w:sz w:val="32"/>
          <w:szCs w:val="32"/>
        </w:rPr>
      </w:pPr>
      <w:r>
        <w:rPr>
          <w:rFonts w:hint="eastAsia" w:ascii="黑体" w:hAnsi="黑体" w:eastAsia="黑体" w:cs="黑体"/>
          <w:sz w:val="32"/>
          <w:szCs w:val="32"/>
        </w:rPr>
        <w:t>第一部分 本科项目</w:t>
      </w:r>
    </w:p>
    <w:p w14:paraId="3E702635">
      <w:pPr>
        <w:numPr>
          <w:ilvl w:val="0"/>
          <w:numId w:val="1"/>
        </w:numPr>
        <w:spacing w:line="520" w:lineRule="exact"/>
        <w:ind w:firstLine="640"/>
        <w:rPr>
          <w:rFonts w:ascii="黑体" w:hAnsi="黑体" w:eastAsia="黑体" w:cs="黑体"/>
          <w:sz w:val="32"/>
          <w:szCs w:val="32"/>
        </w:rPr>
      </w:pPr>
      <w:r>
        <w:rPr>
          <w:rFonts w:hint="eastAsia" w:ascii="黑体" w:hAnsi="黑体" w:eastAsia="黑体" w:cs="黑体"/>
          <w:sz w:val="32"/>
          <w:szCs w:val="32"/>
        </w:rPr>
        <w:t>重大攻关和重点项目</w:t>
      </w:r>
    </w:p>
    <w:p w14:paraId="5A6674B2">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（一）目标定位</w:t>
      </w:r>
    </w:p>
    <w:p w14:paraId="2373398A">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重大攻关和重点项目旨在集中优势资源，创新解决教育教学改革中的热点、难点、重点问题，聚焦于</w:t>
      </w:r>
      <w:r>
        <w:rPr>
          <w:rFonts w:ascii="仿宋" w:hAnsi="仿宋" w:eastAsia="仿宋" w:cs="仿宋"/>
          <w:sz w:val="32"/>
          <w:szCs w:val="32"/>
        </w:rPr>
        <w:t>模式创新、体系重构与机制突破</w:t>
      </w:r>
      <w:r>
        <w:rPr>
          <w:rFonts w:hint="eastAsia" w:ascii="仿宋" w:hAnsi="仿宋" w:eastAsia="仿宋" w:cs="仿宋"/>
          <w:sz w:val="32"/>
          <w:szCs w:val="32"/>
        </w:rPr>
        <w:t>，</w:t>
      </w:r>
      <w:r>
        <w:rPr>
          <w:rFonts w:ascii="仿宋" w:hAnsi="仿宋" w:eastAsia="仿宋" w:cs="仿宋"/>
          <w:sz w:val="32"/>
          <w:szCs w:val="32"/>
        </w:rPr>
        <w:t>形成具有西农特色、可复制、可推广的重大改革成果</w:t>
      </w:r>
      <w:r>
        <w:rPr>
          <w:rFonts w:hint="eastAsia" w:ascii="仿宋" w:hAnsi="仿宋" w:eastAsia="仿宋" w:cs="仿宋"/>
          <w:sz w:val="32"/>
          <w:szCs w:val="32"/>
        </w:rPr>
        <w:t>，大力推进卓越农林人才培养</w:t>
      </w:r>
      <w:r>
        <w:rPr>
          <w:rFonts w:ascii="仿宋" w:hAnsi="仿宋" w:eastAsia="仿宋" w:cs="仿宋"/>
          <w:sz w:val="32"/>
          <w:szCs w:val="32"/>
        </w:rPr>
        <w:t>。</w:t>
      </w:r>
    </w:p>
    <w:p w14:paraId="2A04DAB6">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（二）选题方向</w:t>
      </w:r>
    </w:p>
    <w:p w14:paraId="0C318ABF">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ZD01</w:t>
      </w:r>
      <w:r>
        <w:rPr>
          <w:rFonts w:ascii="楷体" w:hAnsi="楷体" w:eastAsia="楷体" w:cs="楷体"/>
          <w:sz w:val="32"/>
          <w:szCs w:val="32"/>
        </w:rPr>
        <w:t>.“大思政课”协同育人路径探索与</w:t>
      </w:r>
      <w:r>
        <w:rPr>
          <w:rFonts w:hint="eastAsia" w:ascii="楷体" w:hAnsi="楷体" w:eastAsia="楷体" w:cs="楷体"/>
          <w:sz w:val="32"/>
          <w:szCs w:val="32"/>
          <w:lang w:val="en-US" w:eastAsia="zh-CN"/>
        </w:rPr>
        <w:t>模式</w:t>
      </w:r>
      <w:r>
        <w:rPr>
          <w:rFonts w:ascii="楷体" w:hAnsi="楷体" w:eastAsia="楷体" w:cs="楷体"/>
          <w:sz w:val="32"/>
          <w:szCs w:val="32"/>
        </w:rPr>
        <w:t>创新</w:t>
      </w:r>
    </w:p>
    <w:p w14:paraId="42A87C6C">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通过“问题链”牵引与数字技术“双轮驱动”</w:t>
      </w:r>
      <w:r>
        <w:rPr>
          <w:rFonts w:hint="eastAsia" w:ascii="仿宋" w:hAnsi="仿宋" w:eastAsia="仿宋" w:cs="仿宋"/>
          <w:sz w:val="32"/>
          <w:szCs w:val="32"/>
          <w:lang w:eastAsia="zh-CN"/>
        </w:rPr>
        <w:t>，</w:t>
      </w:r>
      <w:r>
        <w:rPr>
          <w:rFonts w:ascii="仿宋" w:hAnsi="仿宋" w:eastAsia="仿宋" w:cs="仿宋"/>
          <w:sz w:val="32"/>
          <w:szCs w:val="32"/>
        </w:rPr>
        <w:t>创新思政课智慧课堂与实践教学模式，并系统挖掘课程思政元素、共建数字案例库，双路协同、双向赋能，构建并实践可复制、可推广的“大思政课”综合改革新范式。</w:t>
      </w:r>
    </w:p>
    <w:p w14:paraId="2FBC1BBD">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ZD02.</w:t>
      </w:r>
      <w:r>
        <w:rPr>
          <w:rFonts w:ascii="楷体" w:hAnsi="楷体" w:eastAsia="楷体" w:cs="楷体"/>
          <w:sz w:val="32"/>
          <w:szCs w:val="32"/>
        </w:rPr>
        <w:t>知农爱农情怀培育的协同机制与实践路径研究</w:t>
      </w:r>
    </w:p>
    <w:p w14:paraId="2DAF9CEB">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：推动构建思政课程、课程思政</w:t>
      </w:r>
      <w:r>
        <w:rPr>
          <w:rFonts w:hint="eastAsia" w:ascii="仿宋" w:hAnsi="仿宋" w:eastAsia="仿宋" w:cs="仿宋"/>
          <w:sz w:val="32"/>
          <w:szCs w:val="32"/>
        </w:rPr>
        <w:t>、文化育人与</w:t>
      </w:r>
      <w:r>
        <w:rPr>
          <w:rFonts w:ascii="仿宋" w:hAnsi="仿宋" w:eastAsia="仿宋" w:cs="仿宋"/>
          <w:sz w:val="32"/>
          <w:szCs w:val="32"/>
        </w:rPr>
        <w:t>社会实践深度融合的育人共同体，系统整合校内外实践育人资源，创新将知农爱农教育贯穿人才培养全过程的实施路径与评价方式。</w:t>
      </w:r>
    </w:p>
    <w:p w14:paraId="5B1BB1F2">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ZD03</w:t>
      </w:r>
      <w:r>
        <w:rPr>
          <w:rFonts w:ascii="楷体" w:hAnsi="楷体" w:eastAsia="楷体" w:cs="楷体"/>
          <w:sz w:val="32"/>
          <w:szCs w:val="32"/>
        </w:rPr>
        <w:t>.</w:t>
      </w:r>
      <w:r>
        <w:rPr>
          <w:rFonts w:hint="eastAsia" w:ascii="楷体" w:hAnsi="楷体" w:eastAsia="楷体" w:cs="楷体"/>
          <w:sz w:val="32"/>
          <w:szCs w:val="32"/>
        </w:rPr>
        <w:t>拔尖创新人才培养模式改革与实践</w:t>
      </w:r>
    </w:p>
    <w:p w14:paraId="70393AFC">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：突破传统</w:t>
      </w:r>
      <w:r>
        <w:rPr>
          <w:rFonts w:hint="eastAsia" w:ascii="仿宋" w:hAnsi="仿宋" w:eastAsia="仿宋" w:cs="仿宋"/>
          <w:sz w:val="32"/>
          <w:szCs w:val="32"/>
        </w:rPr>
        <w:t>人才培养</w:t>
      </w:r>
      <w:r>
        <w:rPr>
          <w:rFonts w:ascii="仿宋" w:hAnsi="仿宋" w:eastAsia="仿宋" w:cs="仿宋"/>
          <w:sz w:val="32"/>
          <w:szCs w:val="32"/>
        </w:rPr>
        <w:t>模式，着力于选拔机制、育人载体与评价体系</w:t>
      </w:r>
      <w:r>
        <w:rPr>
          <w:rFonts w:hint="eastAsia" w:ascii="仿宋" w:hAnsi="仿宋" w:eastAsia="仿宋" w:cs="仿宋"/>
          <w:sz w:val="32"/>
          <w:szCs w:val="32"/>
        </w:rPr>
        <w:t>等</w:t>
      </w:r>
      <w:r>
        <w:rPr>
          <w:rFonts w:ascii="仿宋" w:hAnsi="仿宋" w:eastAsia="仿宋" w:cs="仿宋"/>
          <w:sz w:val="32"/>
          <w:szCs w:val="32"/>
        </w:rPr>
        <w:t>关键环节的深化改革，建立能够激发学术志趣、赋能个性发展、促进跨界融合的</w:t>
      </w:r>
      <w:r>
        <w:rPr>
          <w:rFonts w:hint="eastAsia" w:ascii="仿宋" w:hAnsi="仿宋" w:eastAsia="仿宋" w:cs="仿宋"/>
          <w:sz w:val="32"/>
          <w:szCs w:val="32"/>
        </w:rPr>
        <w:t>本研贯通、政产学研用协同等多元化人才</w:t>
      </w:r>
      <w:r>
        <w:rPr>
          <w:rFonts w:ascii="仿宋" w:hAnsi="仿宋" w:eastAsia="仿宋" w:cs="仿宋"/>
          <w:sz w:val="32"/>
          <w:szCs w:val="32"/>
        </w:rPr>
        <w:t>培养模式。</w:t>
      </w:r>
    </w:p>
    <w:p w14:paraId="4AAD529C">
      <w:pPr>
        <w:spacing w:line="520" w:lineRule="exact"/>
        <w:ind w:firstLine="640" w:firstLineChars="200"/>
        <w:rPr>
          <w:rFonts w:ascii="仿宋" w:hAnsi="仿宋" w:eastAsia="仿宋" w:cs="仿宋"/>
          <w:sz w:val="32"/>
          <w:szCs w:val="32"/>
        </w:rPr>
      </w:pPr>
      <w:r>
        <w:rPr>
          <w:rFonts w:hint="eastAsia" w:ascii="楷体" w:hAnsi="楷体" w:eastAsia="楷体" w:cs="楷体"/>
          <w:sz w:val="32"/>
          <w:szCs w:val="32"/>
        </w:rPr>
        <w:t>ZD04</w:t>
      </w:r>
      <w:r>
        <w:rPr>
          <w:rFonts w:ascii="楷体" w:hAnsi="楷体" w:eastAsia="楷体" w:cs="楷体"/>
          <w:sz w:val="32"/>
          <w:szCs w:val="32"/>
        </w:rPr>
        <w:t>.“科教融汇、产教融合”协同育人的长效机制与动力机制创新研究</w:t>
      </w:r>
    </w:p>
    <w:p w14:paraId="3FA5E230">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：建立科研成果向教学资源转化的制度化通道与激励机制，推行“双导师制”与“项目化教学”</w:t>
      </w:r>
      <w:r>
        <w:rPr>
          <w:rFonts w:hint="eastAsia" w:ascii="仿宋" w:hAnsi="仿宋" w:eastAsia="仿宋" w:cs="仿宋"/>
          <w:sz w:val="32"/>
          <w:szCs w:val="32"/>
        </w:rPr>
        <w:t>，</w:t>
      </w:r>
      <w:r>
        <w:rPr>
          <w:rFonts w:ascii="仿宋" w:hAnsi="仿宋" w:eastAsia="仿宋" w:cs="仿宋"/>
          <w:sz w:val="32"/>
          <w:szCs w:val="32"/>
        </w:rPr>
        <w:t>构建基于真实产业需求的课程</w:t>
      </w:r>
      <w:r>
        <w:rPr>
          <w:rFonts w:hint="eastAsia" w:ascii="仿宋" w:hAnsi="仿宋" w:eastAsia="仿宋" w:cs="仿宋"/>
          <w:sz w:val="32"/>
          <w:szCs w:val="32"/>
        </w:rPr>
        <w:t>、</w:t>
      </w:r>
      <w:r>
        <w:rPr>
          <w:rFonts w:ascii="仿宋" w:hAnsi="仿宋" w:eastAsia="仿宋" w:cs="仿宋"/>
          <w:sz w:val="32"/>
          <w:szCs w:val="32"/>
        </w:rPr>
        <w:t>内容与实践项目动态更新机制</w:t>
      </w:r>
      <w:r>
        <w:rPr>
          <w:rFonts w:hint="eastAsia" w:ascii="仿宋" w:hAnsi="仿宋" w:eastAsia="仿宋" w:cs="仿宋"/>
          <w:sz w:val="32"/>
          <w:szCs w:val="32"/>
        </w:rPr>
        <w:t>等</w:t>
      </w:r>
      <w:r>
        <w:rPr>
          <w:rFonts w:ascii="仿宋" w:hAnsi="仿宋" w:eastAsia="仿宋" w:cs="仿宋"/>
          <w:sz w:val="32"/>
          <w:szCs w:val="32"/>
        </w:rPr>
        <w:t>。</w:t>
      </w:r>
    </w:p>
    <w:p w14:paraId="443C3502">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ZD05</w:t>
      </w:r>
      <w:r>
        <w:rPr>
          <w:rFonts w:ascii="楷体" w:hAnsi="楷体" w:eastAsia="楷体" w:cs="楷体"/>
          <w:sz w:val="32"/>
          <w:szCs w:val="32"/>
        </w:rPr>
        <w:t>.人工智能赋能教育教学全过程的模式构建与路径探索</w:t>
      </w:r>
    </w:p>
    <w:p w14:paraId="390554D3">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：系统性探索AI技术在个性化学习、智慧课堂、虚拟实验及过程性评价中的应用场景与模式，构建“AI+农林”特色的教学资源与平台，并配套推进教师AI教学能力发展。</w:t>
      </w:r>
    </w:p>
    <w:p w14:paraId="06BE8F32">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w:t>
      </w:r>
      <w:r>
        <w:rPr>
          <w:rFonts w:ascii="楷体" w:hAnsi="楷体" w:eastAsia="楷体" w:cs="楷体"/>
          <w:sz w:val="32"/>
          <w:szCs w:val="32"/>
        </w:rPr>
        <w:t>6.学科专业动态调整与内涵更新机制研究</w:t>
      </w:r>
    </w:p>
    <w:p w14:paraId="585E79B6">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：建立基于多源数据的专业预警与动态调整机制，探索设立跨学科交叉专业的可行路径与政策保障，推动传统专业通过模块化</w:t>
      </w:r>
      <w:r>
        <w:rPr>
          <w:rFonts w:hint="eastAsia" w:ascii="仿宋" w:hAnsi="仿宋" w:eastAsia="仿宋" w:cs="仿宋"/>
          <w:sz w:val="32"/>
          <w:szCs w:val="32"/>
        </w:rPr>
        <w:t>课程</w:t>
      </w:r>
      <w:r>
        <w:rPr>
          <w:rFonts w:ascii="仿宋" w:hAnsi="仿宋" w:eastAsia="仿宋" w:cs="仿宋"/>
          <w:sz w:val="32"/>
          <w:szCs w:val="32"/>
        </w:rPr>
        <w:t>、微专业等柔性方式实现内涵升级。</w:t>
      </w:r>
    </w:p>
    <w:p w14:paraId="4E5C3DD4">
      <w:pPr>
        <w:spacing w:line="520" w:lineRule="exac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ZD07.服务区域重点产业链发展的专业集群构建</w:t>
      </w:r>
    </w:p>
    <w:p w14:paraId="7D393247">
      <w:pPr>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研究内容：建立专业与产业需求精准对接机制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推动教育链、人才链与产业链、创新链深度融合。</w:t>
      </w:r>
      <w:r>
        <w:rPr>
          <w:rFonts w:hint="eastAsia" w:ascii="仿宋" w:hAnsi="仿宋" w:eastAsia="仿宋" w:cs="仿宋"/>
          <w:sz w:val="32"/>
          <w:szCs w:val="32"/>
        </w:rPr>
        <w:t>力争在关键技术攻关、高端人才培养、技术成果转化等方面取得重大突破，将专业集群打造成为支撑陕西农业强省建设的核心人才引擎与创新高地</w:t>
      </w:r>
      <w:r>
        <w:rPr>
          <w:rFonts w:hint="eastAsia" w:ascii="仿宋" w:hAnsi="仿宋" w:eastAsia="仿宋" w:cs="仿宋"/>
          <w:sz w:val="32"/>
          <w:szCs w:val="32"/>
          <w:lang w:eastAsia="zh-CN"/>
        </w:rPr>
        <w:t>。</w:t>
      </w:r>
    </w:p>
    <w:p w14:paraId="7D0CF848">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w:t>
      </w:r>
      <w:r>
        <w:rPr>
          <w:rFonts w:hint="eastAsia" w:ascii="楷体" w:hAnsi="楷体" w:eastAsia="楷体" w:cs="楷体"/>
          <w:sz w:val="32"/>
          <w:szCs w:val="32"/>
          <w:lang w:val="en-US" w:eastAsia="zh-CN"/>
        </w:rPr>
        <w:t>8</w:t>
      </w:r>
      <w:r>
        <w:rPr>
          <w:rFonts w:ascii="楷体" w:hAnsi="楷体" w:eastAsia="楷体" w:cs="楷体"/>
          <w:sz w:val="32"/>
          <w:szCs w:val="32"/>
        </w:rPr>
        <w:t>.本研贯通培养的体制机制障碍突破与一体化体系设计</w:t>
      </w:r>
    </w:p>
    <w:p w14:paraId="39A2C5B6">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：系统识别并着力破解管理、招生、培养、学位等环节制约本研贯通的关键体制机制壁垒，设计一体化的培养方案、课程衔接与导师指导体系，完善学生动态发展通道。</w:t>
      </w:r>
    </w:p>
    <w:p w14:paraId="6807178E">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w:t>
      </w:r>
      <w:r>
        <w:rPr>
          <w:rFonts w:hint="eastAsia" w:ascii="楷体" w:hAnsi="楷体" w:eastAsia="楷体" w:cs="楷体"/>
          <w:sz w:val="32"/>
          <w:szCs w:val="32"/>
          <w:lang w:val="en-US" w:eastAsia="zh-CN"/>
        </w:rPr>
        <w:t>9</w:t>
      </w:r>
      <w:r>
        <w:rPr>
          <w:rFonts w:ascii="楷体" w:hAnsi="楷体" w:eastAsia="楷体" w:cs="楷体"/>
          <w:sz w:val="32"/>
          <w:szCs w:val="32"/>
        </w:rPr>
        <w:t>.学生实践创新能力提升体系重构与实施路径研究</w:t>
      </w:r>
    </w:p>
    <w:p w14:paraId="1A076334">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：基于能力进阶规律重构全学程实践教学体系，重点突破跨学科实践平台共建共享机制、虚实结合的实践教学模式创新，完善以能力增值为核心的过程性评价与反馈机制。</w:t>
      </w:r>
    </w:p>
    <w:p w14:paraId="0C312473">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ZD0</w:t>
      </w:r>
      <w:r>
        <w:rPr>
          <w:rFonts w:hint="eastAsia" w:ascii="楷体" w:hAnsi="楷体" w:eastAsia="楷体" w:cs="楷体"/>
          <w:sz w:val="32"/>
          <w:szCs w:val="32"/>
          <w:lang w:val="en-US" w:eastAsia="zh-CN"/>
        </w:rPr>
        <w:t>10</w:t>
      </w:r>
      <w:r>
        <w:rPr>
          <w:rFonts w:ascii="楷体" w:hAnsi="楷体" w:eastAsia="楷体" w:cs="楷体"/>
          <w:sz w:val="32"/>
          <w:szCs w:val="32"/>
        </w:rPr>
        <w:t>.课程体系与内容快速迭代的驱动机制与实施路径研究</w:t>
      </w:r>
    </w:p>
    <w:p w14:paraId="1A5EB9A4">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：建立基于行业反馈与技术发展的课程</w:t>
      </w:r>
      <w:r>
        <w:rPr>
          <w:rFonts w:hint="eastAsia" w:ascii="仿宋" w:hAnsi="仿宋" w:eastAsia="仿宋" w:cs="仿宋"/>
          <w:sz w:val="32"/>
          <w:szCs w:val="32"/>
        </w:rPr>
        <w:t>（教材）</w:t>
      </w:r>
      <w:r>
        <w:rPr>
          <w:rFonts w:ascii="仿宋" w:hAnsi="仿宋" w:eastAsia="仿宋" w:cs="仿宋"/>
          <w:sz w:val="32"/>
          <w:szCs w:val="32"/>
        </w:rPr>
        <w:t>内容动态监测与更新机制，大力推广模块化、项目化等敏捷的课程组织方式，并构建以持续改进为导向的课程质量保障闭环。</w:t>
      </w:r>
    </w:p>
    <w:p w14:paraId="50581198">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w:t>
      </w:r>
      <w:r>
        <w:rPr>
          <w:rFonts w:ascii="楷体" w:hAnsi="楷体" w:eastAsia="楷体" w:cs="楷体"/>
          <w:sz w:val="32"/>
          <w:szCs w:val="32"/>
        </w:rPr>
        <w:t>1</w:t>
      </w:r>
      <w:r>
        <w:rPr>
          <w:rFonts w:hint="eastAsia" w:ascii="楷体" w:hAnsi="楷体" w:eastAsia="楷体" w:cs="楷体"/>
          <w:sz w:val="32"/>
          <w:szCs w:val="32"/>
          <w:lang w:val="en-US" w:eastAsia="zh-CN"/>
        </w:rPr>
        <w:t>1</w:t>
      </w:r>
      <w:r>
        <w:rPr>
          <w:rFonts w:ascii="楷体" w:hAnsi="楷体" w:eastAsia="楷体" w:cs="楷体"/>
          <w:sz w:val="32"/>
          <w:szCs w:val="32"/>
        </w:rPr>
        <w:t>.研究性教学改革与教师教学创新能力双向驱动的系统构建</w:t>
      </w:r>
    </w:p>
    <w:p w14:paraId="5C15F881">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：一体化设计与推进研究性教学模式改革与教师教学创新能力提升，系统构建激励师生投身探究性教与学的制度环境、评价方式与支持性教学文化。</w:t>
      </w:r>
    </w:p>
    <w:p w14:paraId="60127A2F">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ZD1</w:t>
      </w:r>
      <w:r>
        <w:rPr>
          <w:rFonts w:hint="eastAsia" w:ascii="楷体" w:hAnsi="楷体" w:eastAsia="楷体" w:cs="楷体"/>
          <w:sz w:val="32"/>
          <w:szCs w:val="32"/>
          <w:lang w:val="en-US" w:eastAsia="zh-CN"/>
        </w:rPr>
        <w:t>2</w:t>
      </w:r>
      <w:r>
        <w:rPr>
          <w:rFonts w:hint="eastAsia" w:ascii="楷体" w:hAnsi="楷体" w:eastAsia="楷体" w:cs="楷体"/>
          <w:sz w:val="32"/>
          <w:szCs w:val="32"/>
        </w:rPr>
        <w:t>.</w:t>
      </w:r>
      <w:r>
        <w:rPr>
          <w:rFonts w:ascii="楷体" w:hAnsi="楷体" w:eastAsia="楷体" w:cs="楷体"/>
          <w:sz w:val="32"/>
          <w:szCs w:val="32"/>
        </w:rPr>
        <w:t>未来农林人才核心知识能力素质模型构建及培养标准研究</w:t>
      </w:r>
    </w:p>
    <w:p w14:paraId="5E7FAAE5">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w:t>
      </w:r>
      <w:r>
        <w:rPr>
          <w:rFonts w:ascii="仿宋" w:hAnsi="仿宋" w:eastAsia="仿宋" w:cs="仿宋"/>
          <w:sz w:val="32"/>
          <w:szCs w:val="32"/>
        </w:rPr>
        <w:t>：</w:t>
      </w:r>
      <w:r>
        <w:rPr>
          <w:rFonts w:hint="eastAsia" w:ascii="仿宋" w:hAnsi="仿宋" w:eastAsia="仿宋" w:cs="仿宋"/>
          <w:sz w:val="32"/>
          <w:szCs w:val="32"/>
        </w:rPr>
        <w:t>依托人工智能技术，</w:t>
      </w:r>
      <w:r>
        <w:rPr>
          <w:rFonts w:ascii="仿宋" w:hAnsi="仿宋" w:eastAsia="仿宋" w:cs="仿宋"/>
          <w:sz w:val="32"/>
          <w:szCs w:val="32"/>
        </w:rPr>
        <w:t>科学构建面向未来的农林人才能力素质标准框架，并将其作为根本依据，系统性地驱动各专业培养目标、毕业要求、课程体系与评价方式的全面对标与改革。</w:t>
      </w:r>
    </w:p>
    <w:p w14:paraId="24A36478">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ZD1</w:t>
      </w:r>
      <w:r>
        <w:rPr>
          <w:rFonts w:hint="eastAsia" w:ascii="楷体" w:hAnsi="楷体" w:eastAsia="楷体" w:cs="楷体"/>
          <w:sz w:val="32"/>
          <w:szCs w:val="32"/>
          <w:lang w:val="en-US" w:eastAsia="zh-CN"/>
        </w:rPr>
        <w:t>3</w:t>
      </w:r>
      <w:r>
        <w:rPr>
          <w:rFonts w:ascii="楷体" w:hAnsi="楷体" w:eastAsia="楷体" w:cs="楷体"/>
          <w:sz w:val="32"/>
          <w:szCs w:val="32"/>
        </w:rPr>
        <w:t>.</w:t>
      </w:r>
      <w:r>
        <w:rPr>
          <w:rFonts w:hint="eastAsia" w:ascii="楷体" w:hAnsi="楷体" w:eastAsia="楷体" w:cs="楷体"/>
          <w:sz w:val="32"/>
          <w:szCs w:val="32"/>
        </w:rPr>
        <w:t>新高考改革背景下卓越农林人才生源质量提升机制探索与实践</w:t>
      </w:r>
    </w:p>
    <w:p w14:paraId="7D08A006">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研究内容：系统</w:t>
      </w:r>
      <w:r>
        <w:rPr>
          <w:rFonts w:ascii="仿宋" w:hAnsi="仿宋" w:eastAsia="仿宋" w:cs="仿宋"/>
          <w:sz w:val="32"/>
          <w:szCs w:val="32"/>
        </w:rPr>
        <w:t>构建“招</w:t>
      </w:r>
      <w:r>
        <w:rPr>
          <w:rFonts w:hint="eastAsia" w:ascii="仿宋" w:hAnsi="仿宋" w:eastAsia="仿宋" w:cs="仿宋"/>
          <w:sz w:val="32"/>
          <w:szCs w:val="32"/>
        </w:rPr>
        <w:t>-</w:t>
      </w:r>
      <w:r>
        <w:rPr>
          <w:rFonts w:ascii="仿宋" w:hAnsi="仿宋" w:eastAsia="仿宋" w:cs="仿宋"/>
          <w:sz w:val="32"/>
          <w:szCs w:val="32"/>
        </w:rPr>
        <w:t>培</w:t>
      </w:r>
      <w:r>
        <w:rPr>
          <w:rFonts w:hint="eastAsia" w:ascii="仿宋" w:hAnsi="仿宋" w:eastAsia="仿宋" w:cs="仿宋"/>
          <w:sz w:val="32"/>
          <w:szCs w:val="32"/>
        </w:rPr>
        <w:t>-</w:t>
      </w:r>
      <w:r>
        <w:rPr>
          <w:rFonts w:ascii="仿宋" w:hAnsi="仿宋" w:eastAsia="仿宋" w:cs="仿宋"/>
          <w:sz w:val="32"/>
          <w:szCs w:val="32"/>
        </w:rPr>
        <w:t>就”联动的生源质量提升长效机制。</w:t>
      </w:r>
      <w:r>
        <w:rPr>
          <w:rFonts w:hint="eastAsia" w:ascii="仿宋" w:hAnsi="仿宋" w:eastAsia="仿宋" w:cs="仿宋"/>
          <w:sz w:val="32"/>
          <w:szCs w:val="32"/>
        </w:rPr>
        <w:t>重点</w:t>
      </w:r>
      <w:r>
        <w:rPr>
          <w:rFonts w:ascii="仿宋" w:hAnsi="仿宋" w:eastAsia="仿宋" w:cs="仿宋"/>
          <w:sz w:val="32"/>
          <w:szCs w:val="32"/>
        </w:rPr>
        <w:t>探索生源多元化评价与招生模式创新</w:t>
      </w:r>
      <w:r>
        <w:rPr>
          <w:rFonts w:hint="eastAsia" w:ascii="仿宋" w:hAnsi="仿宋" w:eastAsia="仿宋" w:cs="仿宋"/>
          <w:sz w:val="32"/>
          <w:szCs w:val="32"/>
        </w:rPr>
        <w:t>、</w:t>
      </w:r>
      <w:r>
        <w:rPr>
          <w:rFonts w:ascii="仿宋" w:hAnsi="仿宋" w:eastAsia="仿宋" w:cs="仿宋"/>
          <w:sz w:val="32"/>
          <w:szCs w:val="32"/>
        </w:rPr>
        <w:t>新高考背景下招生计划编制</w:t>
      </w:r>
      <w:r>
        <w:rPr>
          <w:rFonts w:hint="eastAsia" w:ascii="仿宋" w:hAnsi="仿宋" w:eastAsia="仿宋" w:cs="仿宋"/>
          <w:sz w:val="32"/>
          <w:szCs w:val="32"/>
        </w:rPr>
        <w:t>以及</w:t>
      </w:r>
      <w:r>
        <w:rPr>
          <w:rFonts w:ascii="仿宋" w:hAnsi="仿宋" w:eastAsia="仿宋" w:cs="仿宋"/>
          <w:sz w:val="32"/>
          <w:szCs w:val="32"/>
        </w:rPr>
        <w:t>内涵化、精准化的招生宣传工作机制。</w:t>
      </w:r>
    </w:p>
    <w:p w14:paraId="7D778798">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ZD1</w:t>
      </w:r>
      <w:r>
        <w:rPr>
          <w:rFonts w:hint="eastAsia" w:ascii="楷体" w:hAnsi="楷体" w:eastAsia="楷体" w:cs="楷体"/>
          <w:sz w:val="32"/>
          <w:szCs w:val="32"/>
          <w:lang w:val="en-US" w:eastAsia="zh-CN"/>
        </w:rPr>
        <w:t>4</w:t>
      </w:r>
      <w:r>
        <w:rPr>
          <w:rFonts w:ascii="楷体" w:hAnsi="楷体" w:eastAsia="楷体" w:cs="楷体"/>
          <w:sz w:val="32"/>
          <w:szCs w:val="32"/>
        </w:rPr>
        <w:t>.自</w:t>
      </w:r>
      <w:r>
        <w:rPr>
          <w:rFonts w:hint="eastAsia" w:ascii="楷体" w:hAnsi="楷体" w:eastAsia="楷体" w:cs="楷体"/>
          <w:sz w:val="32"/>
          <w:szCs w:val="32"/>
        </w:rPr>
        <w:t>主</w:t>
      </w:r>
      <w:r>
        <w:rPr>
          <w:rFonts w:ascii="楷体" w:hAnsi="楷体" w:eastAsia="楷体" w:cs="楷体"/>
          <w:sz w:val="32"/>
          <w:szCs w:val="32"/>
        </w:rPr>
        <w:t>选题</w:t>
      </w:r>
    </w:p>
    <w:p w14:paraId="0DF08C5F">
      <w:pPr>
        <w:spacing w:line="520" w:lineRule="exact"/>
        <w:ind w:firstLine="640" w:firstLineChars="200"/>
        <w:rPr>
          <w:rFonts w:ascii="楷体" w:hAnsi="楷体" w:eastAsia="楷体" w:cs="楷体"/>
          <w:sz w:val="32"/>
          <w:szCs w:val="32"/>
        </w:rPr>
      </w:pPr>
      <w:r>
        <w:rPr>
          <w:rFonts w:hint="eastAsia" w:ascii="仿宋" w:hAnsi="仿宋" w:eastAsia="仿宋" w:cs="仿宋"/>
          <w:sz w:val="32"/>
          <w:szCs w:val="32"/>
        </w:rPr>
        <w:t>研究内容</w:t>
      </w:r>
      <w:r>
        <w:rPr>
          <w:rFonts w:ascii="仿宋" w:hAnsi="仿宋" w:eastAsia="仿宋" w:cs="仿宋"/>
          <w:sz w:val="32"/>
          <w:szCs w:val="32"/>
        </w:rPr>
        <w:t>：</w:t>
      </w:r>
      <w:r>
        <w:rPr>
          <w:rFonts w:hint="eastAsia" w:ascii="仿宋" w:hAnsi="仿宋" w:eastAsia="仿宋" w:cs="仿宋"/>
          <w:sz w:val="32"/>
          <w:szCs w:val="32"/>
        </w:rPr>
        <w:t>结合学校或本学院本科教育教学改革的</w:t>
      </w:r>
      <w:r>
        <w:rPr>
          <w:rFonts w:ascii="仿宋" w:hAnsi="仿宋" w:eastAsia="仿宋" w:cs="仿宋"/>
          <w:sz w:val="32"/>
          <w:szCs w:val="32"/>
        </w:rPr>
        <w:t>关键瓶颈问题</w:t>
      </w:r>
      <w:r>
        <w:rPr>
          <w:rFonts w:hint="eastAsia" w:ascii="仿宋" w:hAnsi="仿宋" w:eastAsia="仿宋" w:cs="仿宋"/>
          <w:sz w:val="32"/>
          <w:szCs w:val="32"/>
        </w:rPr>
        <w:t>，自拟</w:t>
      </w:r>
      <w:r>
        <w:rPr>
          <w:rFonts w:ascii="仿宋" w:hAnsi="仿宋" w:eastAsia="仿宋" w:cs="仿宋"/>
          <w:sz w:val="32"/>
          <w:szCs w:val="32"/>
        </w:rPr>
        <w:t>同等量级的选题</w:t>
      </w:r>
      <w:r>
        <w:rPr>
          <w:rFonts w:hint="eastAsia" w:ascii="仿宋" w:hAnsi="仿宋" w:eastAsia="仿宋" w:cs="仿宋"/>
          <w:sz w:val="32"/>
          <w:szCs w:val="32"/>
        </w:rPr>
        <w:t>，开展创新性研究。</w:t>
      </w:r>
    </w:p>
    <w:p w14:paraId="3F5FADA9">
      <w:pPr>
        <w:numPr>
          <w:ilvl w:val="0"/>
          <w:numId w:val="2"/>
        </w:num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考核指标</w:t>
      </w:r>
    </w:p>
    <w:p w14:paraId="51196828">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1.形成系统性改革方案与总结≥2份。制定</w:t>
      </w:r>
      <w:r>
        <w:rPr>
          <w:rFonts w:ascii="仿宋" w:hAnsi="仿宋" w:eastAsia="仿宋" w:cs="仿宋"/>
          <w:sz w:val="32"/>
          <w:szCs w:val="32"/>
        </w:rPr>
        <w:t>具备可操作性</w:t>
      </w:r>
      <w:r>
        <w:rPr>
          <w:rFonts w:hint="eastAsia" w:ascii="仿宋" w:hAnsi="仿宋" w:eastAsia="仿宋" w:cs="仿宋"/>
          <w:sz w:val="32"/>
          <w:szCs w:val="32"/>
        </w:rPr>
        <w:t>的项目</w:t>
      </w:r>
      <w:r>
        <w:rPr>
          <w:rFonts w:ascii="仿宋" w:hAnsi="仿宋" w:eastAsia="仿宋" w:cs="仿宋"/>
          <w:sz w:val="32"/>
          <w:szCs w:val="32"/>
        </w:rPr>
        <w:t>综合改革实施方案</w:t>
      </w:r>
      <w:r>
        <w:rPr>
          <w:rFonts w:hint="eastAsia" w:ascii="仿宋" w:hAnsi="仿宋" w:eastAsia="仿宋" w:cs="仿宋"/>
          <w:sz w:val="32"/>
          <w:szCs w:val="32"/>
        </w:rPr>
        <w:t>，研究</w:t>
      </w:r>
      <w:r>
        <w:rPr>
          <w:rFonts w:ascii="仿宋" w:hAnsi="仿宋" w:eastAsia="仿宋" w:cs="仿宋"/>
          <w:sz w:val="32"/>
          <w:szCs w:val="32"/>
        </w:rPr>
        <w:t>形成高质量的研究报告。</w:t>
      </w:r>
    </w:p>
    <w:p w14:paraId="022A8C91">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2.制定</w:t>
      </w:r>
      <w:r>
        <w:rPr>
          <w:rFonts w:ascii="仿宋" w:hAnsi="仿宋" w:eastAsia="仿宋" w:cs="仿宋"/>
          <w:sz w:val="32"/>
          <w:szCs w:val="32"/>
        </w:rPr>
        <w:t>制度性文件草案</w:t>
      </w:r>
      <w:r>
        <w:rPr>
          <w:rFonts w:hint="eastAsia" w:ascii="仿宋" w:hAnsi="仿宋" w:eastAsia="仿宋" w:cs="仿宋"/>
          <w:sz w:val="32"/>
          <w:szCs w:val="32"/>
        </w:rPr>
        <w:t>≥1份。</w:t>
      </w:r>
      <w:r>
        <w:rPr>
          <w:rFonts w:ascii="仿宋" w:hAnsi="仿宋" w:eastAsia="仿宋" w:cs="仿宋"/>
          <w:sz w:val="32"/>
          <w:szCs w:val="32"/>
        </w:rPr>
        <w:t>产出关键的管理制度、办法、标准、机制等文件草案（如课程迭代标准、教师评价改革方案、实践能力评价指标</w:t>
      </w:r>
      <w:bookmarkStart w:id="0" w:name="_GoBack"/>
      <w:bookmarkEnd w:id="0"/>
      <w:r>
        <w:rPr>
          <w:rFonts w:ascii="仿宋" w:hAnsi="仿宋" w:eastAsia="仿宋" w:cs="仿宋"/>
          <w:sz w:val="32"/>
          <w:szCs w:val="32"/>
        </w:rPr>
        <w:t>等）。</w:t>
      </w:r>
    </w:p>
    <w:p w14:paraId="3234B30D">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3.形成</w:t>
      </w:r>
      <w:r>
        <w:rPr>
          <w:rFonts w:ascii="仿宋" w:hAnsi="仿宋" w:eastAsia="仿宋" w:cs="仿宋"/>
          <w:sz w:val="32"/>
          <w:szCs w:val="32"/>
        </w:rPr>
        <w:t>代表性实践成果</w:t>
      </w:r>
      <w:r>
        <w:rPr>
          <w:rFonts w:hint="eastAsia" w:ascii="仿宋" w:hAnsi="仿宋" w:eastAsia="仿宋" w:cs="仿宋"/>
          <w:sz w:val="32"/>
          <w:szCs w:val="32"/>
        </w:rPr>
        <w:t>≥5个。</w:t>
      </w:r>
      <w:r>
        <w:rPr>
          <w:rFonts w:ascii="仿宋" w:hAnsi="仿宋" w:eastAsia="仿宋" w:cs="仿宋"/>
          <w:sz w:val="32"/>
          <w:szCs w:val="32"/>
        </w:rPr>
        <w:t>建成若干示范性平台、</w:t>
      </w:r>
      <w:r>
        <w:rPr>
          <w:rFonts w:hint="eastAsia" w:ascii="仿宋" w:hAnsi="仿宋" w:eastAsia="仿宋" w:cs="仿宋"/>
          <w:sz w:val="32"/>
          <w:szCs w:val="32"/>
        </w:rPr>
        <w:t>专业、</w:t>
      </w:r>
      <w:r>
        <w:rPr>
          <w:rFonts w:ascii="仿宋" w:hAnsi="仿宋" w:eastAsia="仿宋" w:cs="仿宋"/>
          <w:sz w:val="32"/>
          <w:szCs w:val="32"/>
        </w:rPr>
        <w:t>课程、</w:t>
      </w:r>
      <w:r>
        <w:rPr>
          <w:rFonts w:hint="eastAsia" w:ascii="仿宋" w:hAnsi="仿宋" w:eastAsia="仿宋" w:cs="仿宋"/>
          <w:sz w:val="32"/>
          <w:szCs w:val="32"/>
        </w:rPr>
        <w:t>教材、</w:t>
      </w:r>
      <w:r>
        <w:rPr>
          <w:rFonts w:ascii="仿宋" w:hAnsi="仿宋" w:eastAsia="仿宋" w:cs="仿宋"/>
          <w:sz w:val="32"/>
          <w:szCs w:val="32"/>
        </w:rPr>
        <w:t>项目或案例（如本研贯通示范专业、AI赋能示范课程群、虚实融合实践平台、研究性教学示范</w:t>
      </w:r>
      <w:r>
        <w:rPr>
          <w:rFonts w:hint="eastAsia" w:ascii="仿宋" w:hAnsi="仿宋" w:eastAsia="仿宋" w:cs="仿宋"/>
          <w:sz w:val="32"/>
          <w:szCs w:val="32"/>
        </w:rPr>
        <w:t>课程</w:t>
      </w:r>
      <w:r>
        <w:rPr>
          <w:rFonts w:ascii="仿宋" w:hAnsi="仿宋" w:eastAsia="仿宋" w:cs="仿宋"/>
          <w:sz w:val="32"/>
          <w:szCs w:val="32"/>
        </w:rPr>
        <w:t>等）</w:t>
      </w:r>
      <w:r>
        <w:rPr>
          <w:rFonts w:hint="eastAsia" w:ascii="仿宋" w:hAnsi="仿宋" w:eastAsia="仿宋" w:cs="仿宋"/>
          <w:sz w:val="32"/>
          <w:szCs w:val="32"/>
        </w:rPr>
        <w:t>。</w:t>
      </w:r>
    </w:p>
    <w:p w14:paraId="09641512">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可推广的改革模式</w:t>
      </w:r>
      <w:r>
        <w:rPr>
          <w:rFonts w:hint="eastAsia" w:ascii="仿宋" w:hAnsi="仿宋" w:eastAsia="仿宋" w:cs="仿宋"/>
          <w:sz w:val="32"/>
          <w:szCs w:val="32"/>
        </w:rPr>
        <w:t>≥1个。</w:t>
      </w:r>
      <w:r>
        <w:rPr>
          <w:rFonts w:ascii="仿宋" w:hAnsi="仿宋" w:eastAsia="仿宋" w:cs="仿宋"/>
          <w:sz w:val="32"/>
          <w:szCs w:val="32"/>
        </w:rPr>
        <w:t>总结凝练出具有普适性的改革模式与实施路径，为全校其他学院和专业提供借鉴。</w:t>
      </w:r>
    </w:p>
    <w:p w14:paraId="16A5D576">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5.发表高水平教改论文（可选）：校级项目对发表论文不做硬性要求，获批省级立项的项目≥1篇。</w:t>
      </w:r>
    </w:p>
    <w:p w14:paraId="4870E37C">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6.人才培养质量指标≥3项：根据研究内容由项目组自定。（如项目受益学生在高水平学科竞赛、创新创业项目、学术成果中的获奖/立项/产出数量与质量显著提升，学生在自主学习体验、个性化发展支持等方面的满意度显著提高，用人单位、升学单位对毕业生综合素质的正面评价提升等）。</w:t>
      </w:r>
    </w:p>
    <w:p w14:paraId="4C6CBB42">
      <w:pPr>
        <w:numPr>
          <w:ilvl w:val="0"/>
          <w:numId w:val="1"/>
        </w:numPr>
        <w:spacing w:line="520" w:lineRule="exact"/>
        <w:ind w:firstLine="640"/>
        <w:rPr>
          <w:rFonts w:ascii="黑体" w:hAnsi="黑体" w:eastAsia="黑体" w:cs="黑体"/>
          <w:sz w:val="32"/>
          <w:szCs w:val="32"/>
        </w:rPr>
      </w:pPr>
      <w:r>
        <w:rPr>
          <w:rFonts w:hint="eastAsia" w:ascii="黑体" w:hAnsi="黑体" w:eastAsia="黑体" w:cs="黑体"/>
          <w:sz w:val="32"/>
          <w:szCs w:val="32"/>
        </w:rPr>
        <w:t>一般项目</w:t>
      </w:r>
    </w:p>
    <w:p w14:paraId="23DAE8D2">
      <w:pPr>
        <w:spacing w:line="52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rPr>
        <w:t>（一）常规</w:t>
      </w:r>
      <w:r>
        <w:rPr>
          <w:rFonts w:hint="eastAsia" w:ascii="楷体" w:hAnsi="楷体" w:eastAsia="楷体" w:cs="楷体"/>
          <w:sz w:val="32"/>
          <w:szCs w:val="32"/>
          <w:lang w:val="en-US" w:eastAsia="zh-CN"/>
        </w:rPr>
        <w:t>项目</w:t>
      </w:r>
    </w:p>
    <w:p w14:paraId="23496BDA">
      <w:pPr>
        <w:spacing w:line="520" w:lineRule="exact"/>
        <w:ind w:firstLine="640" w:firstLineChars="200"/>
        <w:rPr>
          <w:rFonts w:ascii="楷体" w:hAnsi="楷体" w:eastAsia="楷体" w:cs="楷体"/>
          <w:sz w:val="32"/>
          <w:szCs w:val="32"/>
        </w:rPr>
      </w:pPr>
      <w:r>
        <w:rPr>
          <w:rFonts w:ascii="仿宋" w:hAnsi="仿宋" w:eastAsia="仿宋" w:cs="仿宋"/>
          <w:sz w:val="32"/>
          <w:szCs w:val="32"/>
        </w:rPr>
        <w:t>1</w:t>
      </w:r>
      <w:r>
        <w:rPr>
          <w:rFonts w:hint="eastAsia" w:ascii="仿宋" w:hAnsi="仿宋" w:eastAsia="仿宋" w:cs="仿宋"/>
          <w:sz w:val="32"/>
          <w:szCs w:val="32"/>
        </w:rPr>
        <w:t>.</w:t>
      </w:r>
      <w:r>
        <w:rPr>
          <w:rFonts w:hint="eastAsia" w:ascii="楷体" w:hAnsi="楷体" w:eastAsia="楷体" w:cs="楷体"/>
          <w:sz w:val="32"/>
          <w:szCs w:val="32"/>
        </w:rPr>
        <w:t>目标定位与研究内容</w:t>
      </w:r>
    </w:p>
    <w:p w14:paraId="084900E4">
      <w:pPr>
        <w:spacing w:line="520" w:lineRule="exact"/>
        <w:ind w:firstLine="640" w:firstLineChars="200"/>
        <w:rPr>
          <w:rFonts w:ascii="仿宋" w:hAnsi="仿宋" w:eastAsia="仿宋" w:cs="仿宋"/>
          <w:color w:val="auto"/>
          <w:sz w:val="32"/>
          <w:szCs w:val="32"/>
        </w:rPr>
      </w:pPr>
      <w:r>
        <w:rPr>
          <w:rFonts w:hint="eastAsia" w:ascii="仿宋" w:hAnsi="仿宋" w:eastAsia="仿宋" w:cs="仿宋"/>
          <w:sz w:val="32"/>
          <w:szCs w:val="32"/>
        </w:rPr>
        <w:t>学院（部门）</w:t>
      </w:r>
      <w:r>
        <w:rPr>
          <w:rFonts w:ascii="仿宋" w:hAnsi="仿宋" w:eastAsia="仿宋" w:cs="仿宋"/>
          <w:sz w:val="32"/>
          <w:szCs w:val="32"/>
        </w:rPr>
        <w:t>立足人才培养中的关键瓶颈问题，从</w:t>
      </w:r>
      <w:r>
        <w:rPr>
          <w:rFonts w:hint="eastAsia" w:ascii="仿宋" w:hAnsi="仿宋" w:eastAsia="仿宋" w:cs="仿宋"/>
          <w:sz w:val="32"/>
          <w:szCs w:val="32"/>
        </w:rPr>
        <w:t>“</w:t>
      </w:r>
      <w:r>
        <w:rPr>
          <w:rFonts w:ascii="仿宋" w:hAnsi="仿宋" w:eastAsia="仿宋" w:cs="仿宋"/>
          <w:sz w:val="32"/>
          <w:szCs w:val="32"/>
        </w:rPr>
        <w:t>重大攻关</w:t>
      </w:r>
      <w:r>
        <w:rPr>
          <w:rFonts w:hint="eastAsia" w:ascii="仿宋" w:hAnsi="仿宋" w:eastAsia="仿宋" w:cs="仿宋"/>
          <w:sz w:val="32"/>
          <w:szCs w:val="32"/>
        </w:rPr>
        <w:t>和重点</w:t>
      </w:r>
      <w:r>
        <w:rPr>
          <w:rFonts w:ascii="仿宋" w:hAnsi="仿宋" w:eastAsia="仿宋" w:cs="仿宋"/>
          <w:sz w:val="32"/>
          <w:szCs w:val="32"/>
        </w:rPr>
        <w:t>项目选题指南</w:t>
      </w:r>
      <w:r>
        <w:rPr>
          <w:rFonts w:hint="eastAsia" w:ascii="仿宋" w:hAnsi="仿宋" w:eastAsia="仿宋" w:cs="仿宋"/>
          <w:sz w:val="32"/>
          <w:szCs w:val="32"/>
        </w:rPr>
        <w:t>”</w:t>
      </w:r>
      <w:r>
        <w:rPr>
          <w:rFonts w:ascii="仿宋" w:hAnsi="仿宋" w:eastAsia="仿宋" w:cs="仿宋"/>
          <w:sz w:val="32"/>
          <w:szCs w:val="32"/>
        </w:rPr>
        <w:t>中遴选1个核心选题（或自拟同等量级的选题）作为主攻方向。</w:t>
      </w:r>
      <w:r>
        <w:rPr>
          <w:rFonts w:hint="eastAsia" w:ascii="仿宋" w:hAnsi="仿宋" w:eastAsia="仿宋" w:cs="仿宋"/>
          <w:sz w:val="32"/>
          <w:szCs w:val="32"/>
        </w:rPr>
        <w:t>通过顶层设计</w:t>
      </w:r>
      <w:r>
        <w:rPr>
          <w:rFonts w:ascii="仿宋" w:hAnsi="仿宋" w:eastAsia="仿宋" w:cs="仿宋"/>
          <w:sz w:val="32"/>
          <w:szCs w:val="32"/>
        </w:rPr>
        <w:t>，构建“1+N”式项目群</w:t>
      </w:r>
      <w:r>
        <w:rPr>
          <w:rFonts w:hint="eastAsia" w:ascii="仿宋" w:hAnsi="仿宋" w:eastAsia="仿宋" w:cs="仿宋"/>
          <w:sz w:val="32"/>
          <w:szCs w:val="32"/>
        </w:rPr>
        <w:t>。即“1”个重大攻关或重点项目，</w:t>
      </w:r>
      <w:r>
        <w:rPr>
          <w:rFonts w:ascii="仿宋" w:hAnsi="仿宋" w:eastAsia="仿宋" w:cs="仿宋"/>
          <w:sz w:val="32"/>
          <w:szCs w:val="32"/>
        </w:rPr>
        <w:t>解决体制机制</w:t>
      </w:r>
      <w:r>
        <w:rPr>
          <w:rFonts w:hint="eastAsia" w:ascii="仿宋" w:hAnsi="仿宋" w:eastAsia="仿宋" w:cs="仿宋"/>
          <w:sz w:val="32"/>
          <w:szCs w:val="32"/>
        </w:rPr>
        <w:t>、模式、体系等</w:t>
      </w:r>
      <w:r>
        <w:rPr>
          <w:rFonts w:ascii="仿宋" w:hAnsi="仿宋" w:eastAsia="仿宋" w:cs="仿宋"/>
          <w:sz w:val="32"/>
          <w:szCs w:val="32"/>
        </w:rPr>
        <w:t>根本性问题，举全院之力进行战略攻关</w:t>
      </w:r>
      <w:r>
        <w:rPr>
          <w:rFonts w:hint="eastAsia" w:ascii="仿宋" w:hAnsi="仿宋" w:eastAsia="仿宋" w:cs="仿宋"/>
          <w:sz w:val="32"/>
          <w:szCs w:val="32"/>
        </w:rPr>
        <w:t>；</w:t>
      </w:r>
      <w:r>
        <w:rPr>
          <w:rFonts w:ascii="仿宋" w:hAnsi="仿宋" w:eastAsia="仿宋" w:cs="仿宋"/>
          <w:sz w:val="32"/>
          <w:szCs w:val="32"/>
        </w:rPr>
        <w:t>“N”个</w:t>
      </w:r>
      <w:r>
        <w:rPr>
          <w:rFonts w:hint="eastAsia" w:ascii="仿宋" w:hAnsi="仿宋" w:eastAsia="仿宋" w:cs="仿宋"/>
          <w:sz w:val="32"/>
          <w:szCs w:val="32"/>
        </w:rPr>
        <w:t>支撑性</w:t>
      </w:r>
      <w:r>
        <w:rPr>
          <w:rFonts w:ascii="仿宋" w:hAnsi="仿宋" w:eastAsia="仿宋" w:cs="仿宋"/>
          <w:sz w:val="32"/>
          <w:szCs w:val="32"/>
        </w:rPr>
        <w:t>一般项目</w:t>
      </w:r>
      <w:r>
        <w:rPr>
          <w:rFonts w:hint="eastAsia" w:ascii="仿宋" w:hAnsi="仿宋" w:eastAsia="仿宋" w:cs="仿宋"/>
          <w:sz w:val="32"/>
          <w:szCs w:val="32"/>
        </w:rPr>
        <w:t>，</w:t>
      </w:r>
      <w:r>
        <w:rPr>
          <w:rFonts w:ascii="仿宋" w:hAnsi="仿宋" w:eastAsia="仿宋" w:cs="仿宋"/>
          <w:sz w:val="32"/>
          <w:szCs w:val="32"/>
        </w:rPr>
        <w:t>围绕</w:t>
      </w:r>
      <w:r>
        <w:rPr>
          <w:rFonts w:hint="eastAsia" w:ascii="仿宋" w:hAnsi="仿宋" w:eastAsia="仿宋" w:cs="仿宋"/>
          <w:sz w:val="32"/>
          <w:szCs w:val="32"/>
        </w:rPr>
        <w:t>主攻方向</w:t>
      </w:r>
      <w:r>
        <w:rPr>
          <w:rFonts w:ascii="仿宋" w:hAnsi="仿宋" w:eastAsia="仿宋" w:cs="仿宋"/>
          <w:sz w:val="32"/>
          <w:szCs w:val="32"/>
        </w:rPr>
        <w:t>，在</w:t>
      </w:r>
      <w:r>
        <w:rPr>
          <w:rFonts w:hint="eastAsia" w:ascii="仿宋" w:hAnsi="仿宋" w:eastAsia="仿宋" w:cs="仿宋"/>
          <w:kern w:val="0"/>
          <w:sz w:val="32"/>
          <w:szCs w:val="32"/>
          <w:lang w:bidi="ar"/>
        </w:rPr>
        <w:t>核心师资团队、核心课程、核心教材、核心实践</w:t>
      </w:r>
      <w:r>
        <w:rPr>
          <w:rFonts w:hint="eastAsia" w:ascii="仿宋" w:hAnsi="仿宋" w:eastAsia="仿宋" w:cs="仿宋"/>
          <w:sz w:val="32"/>
          <w:szCs w:val="32"/>
        </w:rPr>
        <w:t>项目</w:t>
      </w:r>
      <w:r>
        <w:rPr>
          <w:rFonts w:ascii="仿宋" w:hAnsi="仿宋" w:eastAsia="仿宋" w:cs="仿宋"/>
          <w:sz w:val="32"/>
          <w:szCs w:val="32"/>
        </w:rPr>
        <w:t>等</w:t>
      </w:r>
      <w:r>
        <w:rPr>
          <w:rFonts w:hint="eastAsia" w:ascii="仿宋" w:hAnsi="仿宋" w:eastAsia="仿宋" w:cs="仿宋"/>
          <w:sz w:val="32"/>
          <w:szCs w:val="32"/>
        </w:rPr>
        <w:t>关键要素上</w:t>
      </w:r>
      <w:r>
        <w:rPr>
          <w:rFonts w:ascii="仿宋" w:hAnsi="仿宋" w:eastAsia="仿宋" w:cs="仿宋"/>
          <w:sz w:val="32"/>
          <w:szCs w:val="32"/>
        </w:rPr>
        <w:t>开展改革实践</w:t>
      </w:r>
      <w:r>
        <w:rPr>
          <w:rFonts w:hint="eastAsia" w:ascii="仿宋" w:hAnsi="仿宋" w:eastAsia="仿宋" w:cs="仿宋"/>
          <w:sz w:val="32"/>
          <w:szCs w:val="32"/>
        </w:rPr>
        <w:t>。</w:t>
      </w:r>
      <w:r>
        <w:rPr>
          <w:rFonts w:ascii="仿宋" w:hAnsi="仿宋" w:eastAsia="仿宋" w:cs="仿宋"/>
          <w:sz w:val="32"/>
          <w:szCs w:val="32"/>
        </w:rPr>
        <w:t>通过</w:t>
      </w:r>
      <w:r>
        <w:rPr>
          <w:rFonts w:hint="eastAsia" w:ascii="仿宋" w:hAnsi="仿宋" w:eastAsia="仿宋" w:cs="仿宋"/>
          <w:sz w:val="32"/>
          <w:szCs w:val="32"/>
        </w:rPr>
        <w:t>“1”与“N”的协同推进，</w:t>
      </w:r>
      <w:r>
        <w:rPr>
          <w:rFonts w:ascii="仿宋" w:hAnsi="仿宋" w:eastAsia="仿宋" w:cs="仿宋"/>
          <w:sz w:val="32"/>
          <w:szCs w:val="32"/>
        </w:rPr>
        <w:t>形成一套路径清晰、措施配套、证据充分的综合性改革方案，并凝练成可在全校范围内复制推广的成熟范式。</w:t>
      </w:r>
      <w:r>
        <w:rPr>
          <w:rFonts w:hint="eastAsia" w:ascii="仿宋" w:hAnsi="仿宋" w:eastAsia="仿宋" w:cs="仿宋"/>
          <w:b w:val="0"/>
          <w:bCs w:val="0"/>
          <w:color w:val="auto"/>
          <w:sz w:val="32"/>
          <w:szCs w:val="32"/>
          <w:lang w:val="en-US" w:eastAsia="zh-CN"/>
        </w:rPr>
        <w:t>原则上，不支持以单一课程、实践项目或教材进行申报。</w:t>
      </w:r>
    </w:p>
    <w:p w14:paraId="2D18D36A">
      <w:pPr>
        <w:spacing w:line="520" w:lineRule="exact"/>
        <w:ind w:firstLine="640" w:firstLineChars="200"/>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rPr>
        <w:t>如所在单位未申报重大攻关或重点项目，申请人可参照</w:t>
      </w:r>
      <w:r>
        <w:rPr>
          <w:rFonts w:hint="eastAsia" w:ascii="仿宋" w:hAnsi="仿宋" w:eastAsia="仿宋" w:cs="仿宋"/>
          <w:b w:val="0"/>
          <w:bCs w:val="0"/>
          <w:color w:val="auto"/>
          <w:sz w:val="32"/>
          <w:szCs w:val="32"/>
          <w:lang w:val="en-US" w:eastAsia="zh-CN"/>
        </w:rPr>
        <w:t>省级项目申报指南（见附件1）</w:t>
      </w:r>
      <w:r>
        <w:rPr>
          <w:rFonts w:hint="eastAsia" w:ascii="仿宋" w:hAnsi="仿宋" w:eastAsia="仿宋" w:cs="仿宋"/>
          <w:b w:val="0"/>
          <w:bCs w:val="0"/>
          <w:color w:val="auto"/>
          <w:sz w:val="32"/>
          <w:szCs w:val="32"/>
        </w:rPr>
        <w:t>自主选题</w:t>
      </w:r>
      <w:r>
        <w:rPr>
          <w:rFonts w:hint="eastAsia" w:ascii="仿宋" w:hAnsi="仿宋" w:eastAsia="仿宋" w:cs="仿宋"/>
          <w:b w:val="0"/>
          <w:bCs w:val="0"/>
          <w:color w:val="auto"/>
          <w:sz w:val="32"/>
          <w:szCs w:val="32"/>
          <w:lang w:eastAsia="zh-CN"/>
        </w:rPr>
        <w:t>。</w:t>
      </w:r>
    </w:p>
    <w:p w14:paraId="0F47275F">
      <w:pPr>
        <w:spacing w:line="520" w:lineRule="exact"/>
        <w:ind w:firstLine="640" w:firstLineChars="200"/>
        <w:rPr>
          <w:rFonts w:ascii="楷体" w:hAnsi="楷体" w:eastAsia="楷体" w:cs="楷体"/>
          <w:sz w:val="32"/>
          <w:szCs w:val="32"/>
        </w:rPr>
      </w:pPr>
      <w:r>
        <w:rPr>
          <w:rFonts w:ascii="仿宋" w:hAnsi="仿宋" w:eastAsia="仿宋" w:cs="仿宋"/>
          <w:sz w:val="32"/>
          <w:szCs w:val="32"/>
        </w:rPr>
        <w:t>2</w:t>
      </w:r>
      <w:r>
        <w:rPr>
          <w:rFonts w:hint="eastAsia" w:ascii="仿宋" w:hAnsi="仿宋" w:eastAsia="仿宋" w:cs="仿宋"/>
          <w:sz w:val="32"/>
          <w:szCs w:val="32"/>
        </w:rPr>
        <w:t>.</w:t>
      </w:r>
      <w:r>
        <w:rPr>
          <w:rFonts w:hint="eastAsia" w:ascii="楷体" w:hAnsi="楷体" w:eastAsia="楷体" w:cs="楷体"/>
          <w:sz w:val="32"/>
          <w:szCs w:val="32"/>
        </w:rPr>
        <w:t>考核指标</w:t>
      </w:r>
    </w:p>
    <w:p w14:paraId="593A3077">
      <w:pPr>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1.形成</w:t>
      </w:r>
      <w:r>
        <w:rPr>
          <w:rFonts w:ascii="仿宋" w:hAnsi="仿宋" w:eastAsia="仿宋" w:cs="仿宋"/>
          <w:sz w:val="32"/>
          <w:szCs w:val="32"/>
        </w:rPr>
        <w:t>高质量的研究报告</w:t>
      </w:r>
      <w:r>
        <w:rPr>
          <w:rFonts w:hint="eastAsia" w:ascii="仿宋" w:hAnsi="仿宋" w:eastAsia="仿宋" w:cs="仿宋"/>
          <w:sz w:val="32"/>
          <w:szCs w:val="32"/>
        </w:rPr>
        <w:t>1份</w:t>
      </w:r>
      <w:r>
        <w:rPr>
          <w:rFonts w:hint="eastAsia" w:ascii="仿宋" w:hAnsi="仿宋" w:eastAsia="仿宋" w:cs="仿宋"/>
          <w:sz w:val="32"/>
          <w:szCs w:val="32"/>
          <w:lang w:eastAsia="zh-CN"/>
        </w:rPr>
        <w:t>；</w:t>
      </w:r>
    </w:p>
    <w:p w14:paraId="262C0656">
      <w:pPr>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2.形成</w:t>
      </w:r>
      <w:r>
        <w:rPr>
          <w:rFonts w:ascii="仿宋" w:hAnsi="仿宋" w:eastAsia="仿宋" w:cs="仿宋"/>
          <w:sz w:val="32"/>
          <w:szCs w:val="32"/>
        </w:rPr>
        <w:t>代表性实践成果</w:t>
      </w:r>
      <w:r>
        <w:rPr>
          <w:rFonts w:hint="eastAsia" w:ascii="仿宋" w:hAnsi="仿宋" w:eastAsia="仿宋" w:cs="仿宋"/>
          <w:sz w:val="32"/>
          <w:szCs w:val="32"/>
        </w:rPr>
        <w:t>≥3个</w:t>
      </w:r>
      <w:r>
        <w:rPr>
          <w:rFonts w:hint="eastAsia" w:ascii="仿宋" w:hAnsi="仿宋" w:eastAsia="仿宋" w:cs="仿宋"/>
          <w:sz w:val="32"/>
          <w:szCs w:val="32"/>
          <w:lang w:eastAsia="zh-CN"/>
        </w:rPr>
        <w:t>；</w:t>
      </w:r>
    </w:p>
    <w:p w14:paraId="29270AE2">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3.人才培养质量指标≥3项。</w:t>
      </w:r>
    </w:p>
    <w:p w14:paraId="5BD92FBA">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（二）培养方案专项</w:t>
      </w:r>
    </w:p>
    <w:p w14:paraId="36B4DB30">
      <w:pPr>
        <w:spacing w:line="520" w:lineRule="exact"/>
        <w:ind w:firstLine="640" w:firstLineChars="200"/>
        <w:rPr>
          <w:rFonts w:ascii="楷体" w:hAnsi="楷体" w:eastAsia="楷体" w:cs="楷体"/>
          <w:sz w:val="32"/>
          <w:szCs w:val="32"/>
        </w:rPr>
      </w:pPr>
      <w:r>
        <w:rPr>
          <w:rFonts w:ascii="仿宋" w:hAnsi="仿宋" w:eastAsia="仿宋" w:cs="仿宋"/>
          <w:sz w:val="32"/>
          <w:szCs w:val="32"/>
        </w:rPr>
        <w:t>1</w:t>
      </w:r>
      <w:r>
        <w:rPr>
          <w:rFonts w:hint="eastAsia" w:ascii="仿宋" w:hAnsi="仿宋" w:eastAsia="仿宋" w:cs="仿宋"/>
          <w:sz w:val="32"/>
          <w:szCs w:val="32"/>
        </w:rPr>
        <w:t>.</w:t>
      </w:r>
      <w:r>
        <w:rPr>
          <w:rFonts w:hint="eastAsia" w:ascii="楷体" w:hAnsi="楷体" w:eastAsia="楷体" w:cs="楷体"/>
          <w:sz w:val="32"/>
          <w:szCs w:val="32"/>
        </w:rPr>
        <w:t>目标定位</w:t>
      </w:r>
    </w:p>
    <w:p w14:paraId="44E67FF5">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立足2025版本科人才培养方案修订，推动“目标导向、交叉融通、能力提升、个性培养、自主学习、持续改进”六大理念有效落地，系统思考，科学设计，把培养方案做实、做细、做出特色与水平。</w:t>
      </w:r>
    </w:p>
    <w:p w14:paraId="6739CFE3">
      <w:pPr>
        <w:numPr>
          <w:ilvl w:val="255"/>
          <w:numId w:val="0"/>
        </w:num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2.</w:t>
      </w:r>
      <w:r>
        <w:rPr>
          <w:rFonts w:hint="eastAsia" w:ascii="楷体" w:hAnsi="楷体" w:eastAsia="楷体" w:cs="楷体"/>
          <w:sz w:val="32"/>
          <w:szCs w:val="32"/>
        </w:rPr>
        <w:t>题目建议</w:t>
      </w:r>
    </w:p>
    <w:p w14:paraId="24A5CC07">
      <w:pPr>
        <w:spacing w:line="520" w:lineRule="exact"/>
        <w:ind w:firstLine="640" w:firstLineChars="200"/>
        <w:rPr>
          <w:rFonts w:ascii="仿宋" w:hAnsi="仿宋" w:eastAsia="仿宋" w:cs="仿宋"/>
          <w:sz w:val="32"/>
          <w:szCs w:val="32"/>
        </w:rPr>
      </w:pPr>
      <w:r>
        <w:rPr>
          <w:rFonts w:ascii="仿宋" w:hAnsi="仿宋" w:eastAsia="仿宋" w:cs="仿宋"/>
          <w:sz w:val="32"/>
          <w:szCs w:val="32"/>
        </w:rPr>
        <w:t>项目题目应精准凝练、突出亮点、体现创新，避免使用</w:t>
      </w:r>
      <w:r>
        <w:rPr>
          <w:rFonts w:hint="eastAsia" w:ascii="仿宋" w:hAnsi="仿宋" w:eastAsia="仿宋" w:cs="仿宋"/>
          <w:sz w:val="32"/>
          <w:szCs w:val="32"/>
        </w:rPr>
        <w:t>“XX学院人才培养方案修订”</w:t>
      </w:r>
      <w:r>
        <w:rPr>
          <w:rFonts w:ascii="仿宋" w:hAnsi="仿宋" w:eastAsia="仿宋" w:cs="仿宋"/>
          <w:sz w:val="32"/>
          <w:szCs w:val="32"/>
        </w:rPr>
        <w:t>等简单描述性名称</w:t>
      </w:r>
      <w:r>
        <w:rPr>
          <w:rFonts w:hint="eastAsia" w:ascii="仿宋" w:hAnsi="仿宋" w:eastAsia="仿宋" w:cs="仿宋"/>
          <w:sz w:val="32"/>
          <w:szCs w:val="32"/>
        </w:rPr>
        <w:t>，</w:t>
      </w:r>
      <w:r>
        <w:rPr>
          <w:rFonts w:ascii="仿宋" w:hAnsi="仿宋" w:eastAsia="仿宋" w:cs="仿宋"/>
          <w:sz w:val="32"/>
          <w:szCs w:val="32"/>
        </w:rPr>
        <w:t>建议聚焦项目的核心改革举措与预期形成的标志性成果进行设计。</w:t>
      </w:r>
    </w:p>
    <w:p w14:paraId="53FFAA42">
      <w:pPr>
        <w:numPr>
          <w:ilvl w:val="255"/>
          <w:numId w:val="0"/>
        </w:numPr>
        <w:spacing w:line="520" w:lineRule="exact"/>
        <w:ind w:firstLine="640" w:firstLineChars="200"/>
        <w:rPr>
          <w:rFonts w:ascii="楷体" w:hAnsi="楷体" w:eastAsia="楷体" w:cs="楷体"/>
          <w:sz w:val="32"/>
          <w:szCs w:val="32"/>
        </w:rPr>
      </w:pPr>
      <w:r>
        <w:rPr>
          <w:rFonts w:hint="eastAsia" w:ascii="仿宋" w:hAnsi="仿宋" w:eastAsia="仿宋" w:cs="仿宋"/>
          <w:sz w:val="32"/>
          <w:szCs w:val="32"/>
        </w:rPr>
        <w:t>3.</w:t>
      </w:r>
      <w:r>
        <w:rPr>
          <w:rFonts w:hint="eastAsia" w:ascii="楷体" w:hAnsi="楷体" w:eastAsia="楷体" w:cs="楷体"/>
          <w:sz w:val="32"/>
          <w:szCs w:val="32"/>
        </w:rPr>
        <w:t>研究内容</w:t>
      </w:r>
    </w:p>
    <w:p w14:paraId="48F3460F">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以《</w:t>
      </w:r>
      <w:r>
        <w:rPr>
          <w:rFonts w:ascii="仿宋" w:hAnsi="仿宋" w:eastAsia="仿宋" w:cs="仿宋"/>
          <w:sz w:val="32"/>
          <w:szCs w:val="32"/>
        </w:rPr>
        <w:t>关于修订</w:t>
      </w:r>
      <w:r>
        <w:rPr>
          <w:rFonts w:hint="eastAsia" w:ascii="仿宋" w:hAnsi="仿宋" w:eastAsia="仿宋" w:cs="仿宋"/>
          <w:sz w:val="32"/>
          <w:szCs w:val="32"/>
        </w:rPr>
        <w:t>本科人才培养方案的指导意见》（</w:t>
      </w:r>
      <w:r>
        <w:rPr>
          <w:rFonts w:ascii="仿宋" w:hAnsi="仿宋" w:eastAsia="仿宋" w:cs="仿宋"/>
          <w:sz w:val="32"/>
          <w:szCs w:val="32"/>
        </w:rPr>
        <w:t>校教发〔2025〕59 号</w:t>
      </w:r>
      <w:r>
        <w:rPr>
          <w:rFonts w:hint="eastAsia" w:ascii="仿宋" w:hAnsi="仿宋" w:eastAsia="仿宋" w:cs="仿宋"/>
          <w:sz w:val="32"/>
          <w:szCs w:val="32"/>
        </w:rPr>
        <w:t>）为基本遵循，落实修订重点及工作要求中提出的各项任务，重点包括但不限于以下内容：</w:t>
      </w:r>
      <w:r>
        <w:rPr>
          <w:rFonts w:ascii="仿宋" w:hAnsi="仿宋" w:eastAsia="仿宋" w:cs="仿宋"/>
          <w:sz w:val="32"/>
          <w:szCs w:val="32"/>
        </w:rPr>
        <w:t>重构专业培养目标</w:t>
      </w:r>
      <w:r>
        <w:rPr>
          <w:rFonts w:hint="eastAsia" w:ascii="仿宋" w:hAnsi="仿宋" w:eastAsia="仿宋" w:cs="仿宋"/>
          <w:sz w:val="32"/>
          <w:szCs w:val="32"/>
        </w:rPr>
        <w:t>，</w:t>
      </w:r>
      <w:r>
        <w:rPr>
          <w:rFonts w:ascii="仿宋" w:hAnsi="仿宋" w:eastAsia="仿宋" w:cs="仿宋"/>
          <w:sz w:val="32"/>
          <w:szCs w:val="32"/>
        </w:rPr>
        <w:t>推动专业课程升级改造</w:t>
      </w:r>
      <w:r>
        <w:rPr>
          <w:rFonts w:hint="eastAsia" w:ascii="仿宋" w:hAnsi="仿宋" w:eastAsia="仿宋" w:cs="仿宋"/>
          <w:sz w:val="32"/>
          <w:szCs w:val="32"/>
        </w:rPr>
        <w:t>，</w:t>
      </w:r>
      <w:r>
        <w:rPr>
          <w:rFonts w:ascii="仿宋" w:hAnsi="仿宋" w:eastAsia="仿宋" w:cs="仿宋"/>
          <w:sz w:val="32"/>
          <w:szCs w:val="32"/>
        </w:rPr>
        <w:t>强化实践能力培养</w:t>
      </w:r>
      <w:r>
        <w:rPr>
          <w:rFonts w:hint="eastAsia" w:ascii="仿宋" w:hAnsi="仿宋" w:eastAsia="仿宋" w:cs="仿宋"/>
          <w:sz w:val="32"/>
          <w:szCs w:val="32"/>
        </w:rPr>
        <w:t>，</w:t>
      </w:r>
      <w:r>
        <w:rPr>
          <w:rFonts w:ascii="仿宋" w:hAnsi="仿宋" w:eastAsia="仿宋" w:cs="仿宋"/>
          <w:sz w:val="32"/>
          <w:szCs w:val="32"/>
        </w:rPr>
        <w:t>推动交叉融合培养</w:t>
      </w:r>
      <w:r>
        <w:rPr>
          <w:rFonts w:hint="eastAsia" w:ascii="仿宋" w:hAnsi="仿宋" w:eastAsia="仿宋" w:cs="仿宋"/>
          <w:sz w:val="32"/>
          <w:szCs w:val="32"/>
        </w:rPr>
        <w:t>，支持</w:t>
      </w:r>
      <w:r>
        <w:rPr>
          <w:rFonts w:ascii="仿宋" w:hAnsi="仿宋" w:eastAsia="仿宋" w:cs="仿宋"/>
          <w:sz w:val="32"/>
          <w:szCs w:val="32"/>
        </w:rPr>
        <w:t>学生跨学科学习、个性化培养</w:t>
      </w:r>
      <w:r>
        <w:rPr>
          <w:rFonts w:hint="eastAsia" w:ascii="仿宋" w:hAnsi="仿宋" w:eastAsia="仿宋" w:cs="仿宋"/>
          <w:sz w:val="32"/>
          <w:szCs w:val="32"/>
        </w:rPr>
        <w:t>，专业、课程、教材等</w:t>
      </w:r>
      <w:r>
        <w:rPr>
          <w:rFonts w:ascii="仿宋" w:hAnsi="仿宋" w:eastAsia="仿宋" w:cs="仿宋"/>
          <w:sz w:val="32"/>
          <w:szCs w:val="32"/>
        </w:rPr>
        <w:t>动态管理与准入退出机制</w:t>
      </w:r>
      <w:r>
        <w:rPr>
          <w:rFonts w:hint="eastAsia" w:ascii="仿宋" w:hAnsi="仿宋" w:eastAsia="仿宋" w:cs="仿宋"/>
          <w:sz w:val="32"/>
          <w:szCs w:val="32"/>
        </w:rPr>
        <w:t>、</w:t>
      </w:r>
      <w:r>
        <w:rPr>
          <w:rFonts w:ascii="仿宋" w:hAnsi="仿宋" w:eastAsia="仿宋" w:cs="仿宋"/>
          <w:sz w:val="32"/>
          <w:szCs w:val="32"/>
        </w:rPr>
        <w:t>完善学生实习实践制度</w:t>
      </w:r>
      <w:r>
        <w:rPr>
          <w:rFonts w:hint="eastAsia" w:ascii="仿宋" w:hAnsi="仿宋" w:eastAsia="仿宋" w:cs="仿宋"/>
          <w:sz w:val="32"/>
          <w:szCs w:val="32"/>
        </w:rPr>
        <w:t>、</w:t>
      </w:r>
      <w:r>
        <w:rPr>
          <w:rFonts w:ascii="仿宋" w:hAnsi="仿宋" w:eastAsia="仿宋" w:cs="仿宋"/>
          <w:sz w:val="32"/>
          <w:szCs w:val="32"/>
        </w:rPr>
        <w:t>加快推进研究性教学改革创新</w:t>
      </w:r>
      <w:r>
        <w:rPr>
          <w:rFonts w:hint="eastAsia" w:ascii="仿宋" w:hAnsi="仿宋" w:eastAsia="仿宋" w:cs="仿宋"/>
          <w:sz w:val="32"/>
          <w:szCs w:val="32"/>
        </w:rPr>
        <w:t>、同</w:t>
      </w:r>
      <w:r>
        <w:rPr>
          <w:rFonts w:ascii="仿宋" w:hAnsi="仿宋" w:eastAsia="仿宋" w:cs="仿宋"/>
          <w:sz w:val="32"/>
          <w:szCs w:val="32"/>
        </w:rPr>
        <w:t>步修订课程质量标准</w:t>
      </w:r>
      <w:r>
        <w:rPr>
          <w:rFonts w:hint="eastAsia" w:ascii="仿宋" w:hAnsi="仿宋" w:eastAsia="仿宋" w:cs="仿宋"/>
          <w:sz w:val="32"/>
          <w:szCs w:val="32"/>
        </w:rPr>
        <w:t>、建立完备质保体系等方面。</w:t>
      </w:r>
    </w:p>
    <w:p w14:paraId="35C0BEBD">
      <w:pPr>
        <w:numPr>
          <w:ilvl w:val="255"/>
          <w:numId w:val="0"/>
        </w:numPr>
        <w:spacing w:line="520" w:lineRule="exact"/>
        <w:ind w:left="630"/>
        <w:rPr>
          <w:rFonts w:ascii="楷体" w:hAnsi="楷体" w:eastAsia="楷体" w:cs="楷体"/>
          <w:sz w:val="32"/>
          <w:szCs w:val="32"/>
        </w:rPr>
      </w:pPr>
      <w:r>
        <w:rPr>
          <w:rFonts w:hint="eastAsia" w:ascii="楷体" w:hAnsi="楷体" w:eastAsia="楷体" w:cs="楷体"/>
          <w:sz w:val="32"/>
          <w:szCs w:val="32"/>
        </w:rPr>
        <w:t>4.考核指标</w:t>
      </w:r>
    </w:p>
    <w:p w14:paraId="33846218">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根据研究内容，明确提出培养方案修订后人才培养质量提升的考核指标，验收时需提供必要的证明。</w:t>
      </w:r>
    </w:p>
    <w:tbl>
      <w:tblPr>
        <w:tblStyle w:val="9"/>
        <w:tblW w:w="49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908"/>
        <w:gridCol w:w="3320"/>
        <w:gridCol w:w="1739"/>
        <w:gridCol w:w="2178"/>
      </w:tblGrid>
      <w:tr w14:paraId="79B2E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11" w:type="pct"/>
            <w:vAlign w:val="center"/>
          </w:tcPr>
          <w:p w14:paraId="700597F9">
            <w:pPr>
              <w:snapToGrid w:val="0"/>
              <w:spacing w:line="240" w:lineRule="atLeast"/>
              <w:jc w:val="center"/>
              <w:rPr>
                <w:rFonts w:ascii="黑体" w:hAnsi="黑体" w:eastAsia="黑体" w:cs="黑体"/>
                <w:szCs w:val="21"/>
              </w:rPr>
            </w:pPr>
            <w:r>
              <w:rPr>
                <w:rFonts w:hint="eastAsia" w:ascii="黑体" w:hAnsi="黑体" w:eastAsia="黑体" w:cs="黑体"/>
                <w:szCs w:val="21"/>
              </w:rPr>
              <w:t>专业</w:t>
            </w:r>
          </w:p>
        </w:tc>
        <w:tc>
          <w:tcPr>
            <w:tcW w:w="500" w:type="pct"/>
            <w:vAlign w:val="center"/>
          </w:tcPr>
          <w:p w14:paraId="28B3241D">
            <w:pPr>
              <w:snapToGrid w:val="0"/>
              <w:spacing w:line="240" w:lineRule="atLeast"/>
              <w:jc w:val="center"/>
              <w:rPr>
                <w:rFonts w:ascii="黑体" w:hAnsi="黑体" w:eastAsia="黑体" w:cs="黑体"/>
                <w:szCs w:val="21"/>
              </w:rPr>
            </w:pPr>
            <w:r>
              <w:rPr>
                <w:rFonts w:hint="eastAsia" w:ascii="黑体" w:hAnsi="黑体" w:eastAsia="黑体" w:cs="黑体"/>
                <w:szCs w:val="21"/>
              </w:rPr>
              <w:t>序号</w:t>
            </w:r>
          </w:p>
        </w:tc>
        <w:tc>
          <w:tcPr>
            <w:tcW w:w="1829" w:type="pct"/>
            <w:vAlign w:val="center"/>
          </w:tcPr>
          <w:p w14:paraId="0E93293D">
            <w:pPr>
              <w:snapToGrid w:val="0"/>
              <w:spacing w:line="240" w:lineRule="atLeast"/>
              <w:jc w:val="center"/>
              <w:rPr>
                <w:rFonts w:ascii="黑体" w:hAnsi="黑体" w:eastAsia="黑体" w:cs="黑体"/>
                <w:szCs w:val="21"/>
              </w:rPr>
            </w:pPr>
            <w:r>
              <w:rPr>
                <w:rFonts w:hint="eastAsia" w:ascii="黑体" w:hAnsi="黑体" w:eastAsia="黑体" w:cs="黑体"/>
                <w:szCs w:val="21"/>
              </w:rPr>
              <w:t>考核指标</w:t>
            </w:r>
          </w:p>
        </w:tc>
        <w:tc>
          <w:tcPr>
            <w:tcW w:w="958" w:type="pct"/>
            <w:vAlign w:val="center"/>
          </w:tcPr>
          <w:p w14:paraId="704E7475">
            <w:pPr>
              <w:snapToGrid w:val="0"/>
              <w:spacing w:line="240" w:lineRule="atLeast"/>
              <w:jc w:val="center"/>
              <w:rPr>
                <w:rFonts w:ascii="黑体" w:hAnsi="黑体" w:eastAsia="黑体" w:cs="黑体"/>
                <w:szCs w:val="21"/>
              </w:rPr>
            </w:pPr>
            <w:r>
              <w:rPr>
                <w:rFonts w:hint="eastAsia" w:ascii="黑体" w:hAnsi="黑体" w:eastAsia="黑体" w:cs="黑体"/>
                <w:szCs w:val="21"/>
              </w:rPr>
              <w:t>指标类型</w:t>
            </w:r>
          </w:p>
          <w:p w14:paraId="0D438ABD">
            <w:pPr>
              <w:snapToGrid w:val="0"/>
              <w:spacing w:line="240" w:lineRule="atLeast"/>
              <w:jc w:val="center"/>
              <w:rPr>
                <w:rFonts w:ascii="黑体" w:hAnsi="黑体" w:eastAsia="黑体" w:cs="黑体"/>
                <w:szCs w:val="21"/>
              </w:rPr>
            </w:pPr>
            <w:r>
              <w:rPr>
                <w:rFonts w:hint="eastAsia" w:ascii="黑体" w:hAnsi="黑体" w:eastAsia="黑体" w:cs="黑体"/>
                <w:szCs w:val="21"/>
              </w:rPr>
              <w:t>（数量/质量）</w:t>
            </w:r>
          </w:p>
        </w:tc>
        <w:tc>
          <w:tcPr>
            <w:tcW w:w="1200" w:type="pct"/>
            <w:vAlign w:val="center"/>
          </w:tcPr>
          <w:p w14:paraId="17CCC9CD">
            <w:pPr>
              <w:snapToGrid w:val="0"/>
              <w:spacing w:line="240" w:lineRule="atLeast"/>
              <w:jc w:val="center"/>
              <w:rPr>
                <w:rFonts w:ascii="黑体" w:hAnsi="黑体" w:eastAsia="黑体" w:cs="黑体"/>
                <w:szCs w:val="21"/>
              </w:rPr>
            </w:pPr>
            <w:r>
              <w:rPr>
                <w:rFonts w:hint="eastAsia" w:ascii="黑体" w:hAnsi="黑体" w:eastAsia="黑体" w:cs="黑体"/>
                <w:szCs w:val="21"/>
              </w:rPr>
              <w:t>验收证明材料</w:t>
            </w:r>
          </w:p>
        </w:tc>
      </w:tr>
      <w:tr w14:paraId="4123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511" w:type="pct"/>
            <w:vMerge w:val="restart"/>
            <w:vAlign w:val="center"/>
          </w:tcPr>
          <w:p w14:paraId="19FE3870">
            <w:pPr>
              <w:snapToGrid w:val="0"/>
              <w:spacing w:line="240" w:lineRule="atLeast"/>
              <w:jc w:val="center"/>
              <w:rPr>
                <w:rFonts w:ascii="仿宋" w:hAnsi="仿宋" w:eastAsia="仿宋" w:cs="仿宋"/>
                <w:szCs w:val="21"/>
              </w:rPr>
            </w:pPr>
            <w:r>
              <w:rPr>
                <w:rFonts w:hint="eastAsia" w:ascii="仿宋" w:hAnsi="仿宋" w:eastAsia="仿宋" w:cs="仿宋"/>
                <w:szCs w:val="21"/>
              </w:rPr>
              <w:t>XX专业</w:t>
            </w:r>
          </w:p>
        </w:tc>
        <w:tc>
          <w:tcPr>
            <w:tcW w:w="500" w:type="pct"/>
            <w:vAlign w:val="center"/>
          </w:tcPr>
          <w:p w14:paraId="69007DEF">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1</w:t>
            </w:r>
            <w:r>
              <w:rPr>
                <w:rFonts w:hint="eastAsia" w:ascii="仿宋" w:hAnsi="仿宋" w:eastAsia="仿宋" w:cs="仿宋"/>
                <w:color w:val="000000"/>
                <w:kern w:val="0"/>
                <w:szCs w:val="21"/>
                <w:vertAlign w:val="superscript"/>
                <w:lang w:bidi="ar"/>
              </w:rPr>
              <w:t>*</w:t>
            </w:r>
          </w:p>
        </w:tc>
        <w:tc>
          <w:tcPr>
            <w:tcW w:w="1829" w:type="pct"/>
            <w:shd w:val="clear" w:color="auto" w:fill="auto"/>
            <w:vAlign w:val="center"/>
          </w:tcPr>
          <w:p w14:paraId="6629F90E">
            <w:pPr>
              <w:widowControl/>
              <w:snapToGrid w:val="0"/>
              <w:spacing w:line="240" w:lineRule="atLeast"/>
              <w:jc w:val="left"/>
              <w:rPr>
                <w:rFonts w:ascii="仿宋" w:hAnsi="仿宋" w:eastAsia="仿宋" w:cs="仿宋"/>
                <w:color w:val="000000"/>
                <w:kern w:val="0"/>
                <w:szCs w:val="21"/>
                <w:lang w:bidi="ar"/>
              </w:rPr>
            </w:pPr>
            <w:r>
              <w:rPr>
                <w:rFonts w:hint="eastAsia" w:ascii="仿宋" w:hAnsi="仿宋" w:eastAsia="仿宋" w:cs="仿宋"/>
                <w:color w:val="000000"/>
                <w:kern w:val="0"/>
                <w:szCs w:val="21"/>
                <w:lang w:bidi="ar"/>
              </w:rPr>
              <w:t>形成分类、分段推进课程与教材内容动态更新机制</w:t>
            </w:r>
          </w:p>
        </w:tc>
        <w:tc>
          <w:tcPr>
            <w:tcW w:w="958" w:type="pct"/>
            <w:shd w:val="clear" w:color="auto" w:fill="auto"/>
            <w:vAlign w:val="center"/>
          </w:tcPr>
          <w:p w14:paraId="7D12560B">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数量</w:t>
            </w:r>
          </w:p>
        </w:tc>
        <w:tc>
          <w:tcPr>
            <w:tcW w:w="1200" w:type="pct"/>
            <w:shd w:val="clear" w:color="auto" w:fill="auto"/>
            <w:vAlign w:val="center"/>
          </w:tcPr>
          <w:p w14:paraId="060F540B">
            <w:pPr>
              <w:widowControl/>
              <w:snapToGrid w:val="0"/>
              <w:spacing w:line="240" w:lineRule="atLeast"/>
              <w:jc w:val="left"/>
              <w:rPr>
                <w:rFonts w:ascii="仿宋" w:hAnsi="仿宋" w:eastAsia="仿宋" w:cs="仿宋"/>
                <w:color w:val="000000"/>
                <w:kern w:val="0"/>
                <w:szCs w:val="21"/>
                <w:lang w:bidi="ar"/>
              </w:rPr>
            </w:pPr>
            <w:r>
              <w:rPr>
                <w:rFonts w:hint="eastAsia" w:ascii="仿宋" w:hAnsi="仿宋" w:eastAsia="仿宋" w:cs="仿宋"/>
                <w:color w:val="000000"/>
                <w:kern w:val="0"/>
                <w:szCs w:val="21"/>
                <w:lang w:bidi="ar"/>
              </w:rPr>
              <w:t>学院/专业课程迭代更新的制度文件1份</w:t>
            </w:r>
          </w:p>
        </w:tc>
      </w:tr>
      <w:tr w14:paraId="0E09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511" w:type="pct"/>
            <w:vMerge w:val="continue"/>
            <w:vAlign w:val="center"/>
          </w:tcPr>
          <w:p w14:paraId="26184E73">
            <w:pPr>
              <w:snapToGrid w:val="0"/>
              <w:spacing w:line="240" w:lineRule="atLeast"/>
              <w:jc w:val="center"/>
              <w:rPr>
                <w:rFonts w:hint="eastAsia" w:ascii="仿宋" w:hAnsi="仿宋" w:eastAsia="仿宋" w:cs="仿宋"/>
                <w:szCs w:val="21"/>
              </w:rPr>
            </w:pPr>
          </w:p>
        </w:tc>
        <w:tc>
          <w:tcPr>
            <w:tcW w:w="500" w:type="pct"/>
            <w:vAlign w:val="center"/>
          </w:tcPr>
          <w:p w14:paraId="326C941C">
            <w:pPr>
              <w:widowControl/>
              <w:snapToGrid w:val="0"/>
              <w:spacing w:line="240" w:lineRule="atLeast"/>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val="en-US" w:eastAsia="zh-CN" w:bidi="ar"/>
              </w:rPr>
              <w:t>2</w:t>
            </w:r>
            <w:r>
              <w:rPr>
                <w:rFonts w:hint="eastAsia" w:ascii="仿宋" w:hAnsi="仿宋" w:eastAsia="仿宋" w:cs="仿宋"/>
                <w:color w:val="000000"/>
                <w:kern w:val="0"/>
                <w:szCs w:val="21"/>
                <w:vertAlign w:val="superscript"/>
                <w:lang w:bidi="ar"/>
              </w:rPr>
              <w:t>*</w:t>
            </w:r>
          </w:p>
        </w:tc>
        <w:tc>
          <w:tcPr>
            <w:tcW w:w="1829" w:type="pct"/>
            <w:shd w:val="clear" w:color="auto" w:fill="auto"/>
            <w:vAlign w:val="center"/>
          </w:tcPr>
          <w:p w14:paraId="7C620284">
            <w:pPr>
              <w:widowControl/>
              <w:snapToGrid w:val="0"/>
              <w:spacing w:line="240" w:lineRule="atLeast"/>
              <w:jc w:val="left"/>
              <w:rPr>
                <w:rFonts w:hint="default" w:ascii="仿宋" w:hAnsi="仿宋" w:eastAsia="仿宋" w:cs="仿宋"/>
                <w:color w:val="000000"/>
                <w:kern w:val="0"/>
                <w:szCs w:val="21"/>
                <w:lang w:val="en-US" w:eastAsia="zh-CN" w:bidi="ar"/>
              </w:rPr>
            </w:pPr>
            <w:r>
              <w:rPr>
                <w:rFonts w:hint="eastAsia" w:ascii="仿宋" w:hAnsi="仿宋" w:eastAsia="仿宋" w:cs="仿宋"/>
                <w:color w:val="000000"/>
                <w:kern w:val="0"/>
                <w:szCs w:val="21"/>
                <w:lang w:val="en-US" w:eastAsia="zh-CN" w:bidi="ar"/>
              </w:rPr>
              <w:t>专业图谱</w:t>
            </w:r>
          </w:p>
        </w:tc>
        <w:tc>
          <w:tcPr>
            <w:tcW w:w="958" w:type="pct"/>
            <w:shd w:val="clear" w:color="auto" w:fill="auto"/>
            <w:vAlign w:val="center"/>
          </w:tcPr>
          <w:p w14:paraId="713AE978">
            <w:pPr>
              <w:widowControl/>
              <w:snapToGrid w:val="0"/>
              <w:spacing w:line="240" w:lineRule="atLeast"/>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数量</w:t>
            </w:r>
          </w:p>
        </w:tc>
        <w:tc>
          <w:tcPr>
            <w:tcW w:w="1200" w:type="pct"/>
            <w:shd w:val="clear" w:color="auto" w:fill="auto"/>
            <w:vAlign w:val="center"/>
          </w:tcPr>
          <w:p w14:paraId="56684702">
            <w:pPr>
              <w:widowControl/>
              <w:snapToGrid w:val="0"/>
              <w:spacing w:line="240" w:lineRule="atLeast"/>
              <w:jc w:val="left"/>
              <w:rPr>
                <w:rFonts w:hint="default" w:ascii="仿宋" w:hAnsi="仿宋" w:eastAsia="仿宋" w:cs="仿宋"/>
                <w:color w:val="000000"/>
                <w:kern w:val="0"/>
                <w:szCs w:val="21"/>
                <w:lang w:val="en-US" w:eastAsia="zh-CN" w:bidi="ar"/>
              </w:rPr>
            </w:pPr>
          </w:p>
        </w:tc>
      </w:tr>
      <w:tr w14:paraId="79B2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11" w:type="pct"/>
            <w:vMerge w:val="continue"/>
            <w:vAlign w:val="center"/>
          </w:tcPr>
          <w:p w14:paraId="2A8F0FC2">
            <w:pPr>
              <w:snapToGrid w:val="0"/>
              <w:spacing w:line="240" w:lineRule="atLeast"/>
              <w:jc w:val="center"/>
              <w:rPr>
                <w:rFonts w:ascii="仿宋" w:hAnsi="仿宋" w:eastAsia="仿宋" w:cs="仿宋"/>
                <w:szCs w:val="21"/>
              </w:rPr>
            </w:pPr>
          </w:p>
        </w:tc>
        <w:tc>
          <w:tcPr>
            <w:tcW w:w="500" w:type="pct"/>
            <w:shd w:val="clear" w:color="auto" w:fill="auto"/>
            <w:vAlign w:val="center"/>
          </w:tcPr>
          <w:p w14:paraId="05778E6F">
            <w:pPr>
              <w:widowControl/>
              <w:snapToGrid w:val="0"/>
              <w:spacing w:line="240" w:lineRule="atLeast"/>
              <w:jc w:val="center"/>
              <w:rPr>
                <w:rFonts w:hint="eastAsia" w:ascii="仿宋" w:hAnsi="仿宋" w:eastAsia="仿宋" w:cs="仿宋"/>
                <w:color w:val="000000"/>
                <w:kern w:val="0"/>
                <w:szCs w:val="21"/>
                <w:lang w:eastAsia="zh-CN" w:bidi="ar"/>
              </w:rPr>
            </w:pPr>
            <w:r>
              <w:rPr>
                <w:rFonts w:hint="eastAsia" w:ascii="仿宋" w:hAnsi="仿宋" w:eastAsia="仿宋" w:cs="仿宋"/>
                <w:color w:val="000000"/>
                <w:kern w:val="0"/>
                <w:szCs w:val="21"/>
                <w:lang w:val="en-US" w:eastAsia="zh-CN" w:bidi="ar"/>
              </w:rPr>
              <w:t>3</w:t>
            </w:r>
          </w:p>
        </w:tc>
        <w:tc>
          <w:tcPr>
            <w:tcW w:w="1829" w:type="pct"/>
            <w:shd w:val="clear" w:color="auto" w:fill="auto"/>
            <w:vAlign w:val="center"/>
          </w:tcPr>
          <w:p w14:paraId="21D72FEE">
            <w:pPr>
              <w:widowControl/>
              <w:snapToGrid w:val="0"/>
              <w:spacing w:line="240" w:lineRule="atLeast"/>
              <w:jc w:val="left"/>
              <w:rPr>
                <w:rFonts w:ascii="仿宋" w:hAnsi="仿宋" w:eastAsia="仿宋" w:cs="仿宋"/>
                <w:color w:val="000000"/>
                <w:kern w:val="0"/>
                <w:szCs w:val="21"/>
                <w:lang w:bidi="ar"/>
              </w:rPr>
            </w:pPr>
            <w:r>
              <w:rPr>
                <w:rFonts w:ascii="仿宋" w:hAnsi="仿宋" w:eastAsia="仿宋" w:cs="仿宋"/>
                <w:color w:val="000000"/>
                <w:kern w:val="0"/>
                <w:szCs w:val="21"/>
                <w:lang w:bidi="ar"/>
              </w:rPr>
              <w:t>学生发表论文、申请专利的数量</w:t>
            </w:r>
            <w:r>
              <w:rPr>
                <w:rFonts w:hint="eastAsia" w:ascii="仿宋" w:hAnsi="仿宋" w:eastAsia="仿宋" w:cs="仿宋"/>
                <w:color w:val="000000"/>
                <w:kern w:val="0"/>
                <w:szCs w:val="21"/>
                <w:lang w:bidi="ar"/>
              </w:rPr>
              <w:t>提升</w:t>
            </w:r>
          </w:p>
        </w:tc>
        <w:tc>
          <w:tcPr>
            <w:tcW w:w="958" w:type="pct"/>
            <w:shd w:val="clear" w:color="auto" w:fill="auto"/>
            <w:vAlign w:val="center"/>
          </w:tcPr>
          <w:p w14:paraId="231B9B4A">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数量</w:t>
            </w:r>
          </w:p>
        </w:tc>
        <w:tc>
          <w:tcPr>
            <w:tcW w:w="1200" w:type="pct"/>
            <w:shd w:val="clear" w:color="auto" w:fill="auto"/>
            <w:vAlign w:val="center"/>
          </w:tcPr>
          <w:p w14:paraId="42429467">
            <w:pPr>
              <w:widowControl/>
              <w:snapToGrid w:val="0"/>
              <w:spacing w:line="240" w:lineRule="atLeast"/>
              <w:jc w:val="left"/>
              <w:rPr>
                <w:rFonts w:ascii="仿宋" w:hAnsi="仿宋" w:eastAsia="仿宋" w:cs="仿宋"/>
                <w:color w:val="000000"/>
                <w:kern w:val="0"/>
                <w:szCs w:val="21"/>
                <w:lang w:bidi="ar"/>
              </w:rPr>
            </w:pPr>
          </w:p>
        </w:tc>
      </w:tr>
      <w:tr w14:paraId="6F51D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11" w:type="pct"/>
            <w:vMerge w:val="continue"/>
            <w:vAlign w:val="center"/>
          </w:tcPr>
          <w:p w14:paraId="5D72DEBF">
            <w:pPr>
              <w:snapToGrid w:val="0"/>
              <w:spacing w:line="240" w:lineRule="atLeast"/>
              <w:jc w:val="center"/>
              <w:rPr>
                <w:rFonts w:ascii="仿宋" w:hAnsi="仿宋" w:eastAsia="仿宋" w:cs="仿宋"/>
                <w:szCs w:val="21"/>
              </w:rPr>
            </w:pPr>
          </w:p>
        </w:tc>
        <w:tc>
          <w:tcPr>
            <w:tcW w:w="500" w:type="pct"/>
            <w:shd w:val="clear" w:color="auto" w:fill="auto"/>
            <w:vAlign w:val="center"/>
          </w:tcPr>
          <w:p w14:paraId="16A48E2A">
            <w:pPr>
              <w:widowControl/>
              <w:snapToGrid w:val="0"/>
              <w:spacing w:line="240" w:lineRule="atLeast"/>
              <w:jc w:val="center"/>
              <w:rPr>
                <w:rFonts w:hint="eastAsia" w:ascii="仿宋" w:hAnsi="仿宋" w:eastAsia="仿宋" w:cs="仿宋"/>
                <w:color w:val="000000"/>
                <w:kern w:val="0"/>
                <w:szCs w:val="21"/>
                <w:lang w:eastAsia="zh-CN" w:bidi="ar"/>
              </w:rPr>
            </w:pPr>
            <w:r>
              <w:rPr>
                <w:rFonts w:hint="eastAsia" w:ascii="仿宋" w:hAnsi="仿宋" w:eastAsia="仿宋" w:cs="仿宋"/>
                <w:color w:val="000000"/>
                <w:kern w:val="0"/>
                <w:szCs w:val="21"/>
                <w:lang w:val="en-US" w:eastAsia="zh-CN" w:bidi="ar"/>
              </w:rPr>
              <w:t>4</w:t>
            </w:r>
          </w:p>
        </w:tc>
        <w:tc>
          <w:tcPr>
            <w:tcW w:w="1829" w:type="pct"/>
            <w:shd w:val="clear" w:color="auto" w:fill="auto"/>
            <w:vAlign w:val="center"/>
          </w:tcPr>
          <w:p w14:paraId="2E395BA5">
            <w:pPr>
              <w:widowControl/>
              <w:snapToGrid w:val="0"/>
              <w:spacing w:line="240" w:lineRule="atLeast"/>
              <w:jc w:val="left"/>
              <w:rPr>
                <w:rFonts w:ascii="仿宋" w:hAnsi="仿宋" w:eastAsia="仿宋" w:cs="仿宋"/>
                <w:color w:val="000000"/>
                <w:kern w:val="0"/>
                <w:szCs w:val="21"/>
                <w:lang w:bidi="ar"/>
              </w:rPr>
            </w:pPr>
            <w:r>
              <w:rPr>
                <w:rFonts w:hint="eastAsia" w:ascii="仿宋" w:hAnsi="仿宋" w:eastAsia="仿宋" w:cs="仿宋"/>
                <w:color w:val="000000"/>
                <w:kern w:val="0"/>
                <w:szCs w:val="21"/>
                <w:lang w:bidi="ar"/>
              </w:rPr>
              <w:t>学生创新能力提升</w:t>
            </w:r>
          </w:p>
        </w:tc>
        <w:tc>
          <w:tcPr>
            <w:tcW w:w="958" w:type="pct"/>
            <w:shd w:val="clear" w:color="auto" w:fill="auto"/>
            <w:vAlign w:val="center"/>
          </w:tcPr>
          <w:p w14:paraId="77A4629B">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质量</w:t>
            </w:r>
          </w:p>
        </w:tc>
        <w:tc>
          <w:tcPr>
            <w:tcW w:w="1200" w:type="pct"/>
            <w:shd w:val="clear" w:color="auto" w:fill="auto"/>
            <w:vAlign w:val="center"/>
          </w:tcPr>
          <w:p w14:paraId="3E2121FC">
            <w:pPr>
              <w:widowControl/>
              <w:snapToGrid w:val="0"/>
              <w:spacing w:line="240" w:lineRule="atLeast"/>
              <w:jc w:val="left"/>
              <w:rPr>
                <w:rFonts w:ascii="仿宋" w:hAnsi="仿宋" w:eastAsia="仿宋" w:cs="仿宋"/>
                <w:color w:val="000000"/>
                <w:kern w:val="0"/>
                <w:szCs w:val="21"/>
                <w:lang w:bidi="ar"/>
              </w:rPr>
            </w:pPr>
          </w:p>
        </w:tc>
      </w:tr>
      <w:tr w14:paraId="3AA8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11" w:type="pct"/>
            <w:vMerge w:val="continue"/>
            <w:vAlign w:val="center"/>
          </w:tcPr>
          <w:p w14:paraId="48E3F20A">
            <w:pPr>
              <w:snapToGrid w:val="0"/>
              <w:spacing w:line="240" w:lineRule="atLeast"/>
              <w:jc w:val="center"/>
              <w:rPr>
                <w:rFonts w:ascii="仿宋" w:hAnsi="仿宋" w:eastAsia="仿宋" w:cs="仿宋"/>
                <w:szCs w:val="21"/>
              </w:rPr>
            </w:pPr>
          </w:p>
        </w:tc>
        <w:tc>
          <w:tcPr>
            <w:tcW w:w="500" w:type="pct"/>
            <w:shd w:val="clear" w:color="auto" w:fill="auto"/>
            <w:vAlign w:val="center"/>
          </w:tcPr>
          <w:p w14:paraId="753AEF27">
            <w:pPr>
              <w:widowControl/>
              <w:snapToGrid w:val="0"/>
              <w:spacing w:line="240" w:lineRule="atLeast"/>
              <w:jc w:val="center"/>
              <w:rPr>
                <w:rFonts w:hint="eastAsia" w:ascii="仿宋" w:hAnsi="仿宋" w:eastAsia="仿宋" w:cs="仿宋"/>
                <w:color w:val="000000"/>
                <w:kern w:val="0"/>
                <w:szCs w:val="21"/>
                <w:lang w:eastAsia="zh-CN" w:bidi="ar"/>
              </w:rPr>
            </w:pPr>
            <w:r>
              <w:rPr>
                <w:rFonts w:hint="eastAsia" w:ascii="仿宋" w:hAnsi="仿宋" w:eastAsia="仿宋" w:cs="仿宋"/>
                <w:color w:val="000000"/>
                <w:kern w:val="0"/>
                <w:szCs w:val="21"/>
                <w:lang w:val="en-US" w:eastAsia="zh-CN" w:bidi="ar"/>
              </w:rPr>
              <w:t>5</w:t>
            </w:r>
          </w:p>
        </w:tc>
        <w:tc>
          <w:tcPr>
            <w:tcW w:w="1829" w:type="pct"/>
            <w:shd w:val="clear" w:color="auto" w:fill="auto"/>
            <w:vAlign w:val="center"/>
          </w:tcPr>
          <w:p w14:paraId="78E00F9D">
            <w:pPr>
              <w:widowControl/>
              <w:snapToGrid w:val="0"/>
              <w:spacing w:line="240" w:lineRule="atLeast"/>
              <w:jc w:val="left"/>
              <w:rPr>
                <w:rFonts w:ascii="仿宋" w:hAnsi="仿宋" w:eastAsia="仿宋" w:cs="仿宋"/>
                <w:color w:val="000000"/>
                <w:kern w:val="0"/>
                <w:szCs w:val="21"/>
                <w:lang w:bidi="ar"/>
              </w:rPr>
            </w:pPr>
            <w:r>
              <w:rPr>
                <w:rFonts w:hint="eastAsia" w:ascii="仿宋" w:hAnsi="仿宋" w:eastAsia="仿宋" w:cs="仿宋"/>
                <w:color w:val="000000"/>
                <w:kern w:val="0"/>
                <w:szCs w:val="21"/>
                <w:lang w:bidi="ar"/>
              </w:rPr>
              <w:t>学生实践能力提升</w:t>
            </w:r>
          </w:p>
        </w:tc>
        <w:tc>
          <w:tcPr>
            <w:tcW w:w="958" w:type="pct"/>
            <w:shd w:val="clear" w:color="auto" w:fill="auto"/>
            <w:vAlign w:val="center"/>
          </w:tcPr>
          <w:p w14:paraId="1506B3FF">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质量</w:t>
            </w:r>
          </w:p>
        </w:tc>
        <w:tc>
          <w:tcPr>
            <w:tcW w:w="1200" w:type="pct"/>
            <w:shd w:val="clear" w:color="auto" w:fill="auto"/>
            <w:vAlign w:val="center"/>
          </w:tcPr>
          <w:p w14:paraId="51C1AE07">
            <w:pPr>
              <w:widowControl/>
              <w:snapToGrid w:val="0"/>
              <w:spacing w:line="240" w:lineRule="atLeast"/>
              <w:jc w:val="left"/>
              <w:rPr>
                <w:rFonts w:ascii="仿宋" w:hAnsi="仿宋" w:eastAsia="仿宋" w:cs="仿宋"/>
                <w:color w:val="000000"/>
                <w:kern w:val="0"/>
                <w:szCs w:val="21"/>
                <w:lang w:bidi="ar"/>
              </w:rPr>
            </w:pPr>
          </w:p>
        </w:tc>
      </w:tr>
      <w:tr w14:paraId="6ECC1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11" w:type="pct"/>
            <w:vMerge w:val="continue"/>
            <w:vAlign w:val="center"/>
          </w:tcPr>
          <w:p w14:paraId="4B7DA8BA">
            <w:pPr>
              <w:snapToGrid w:val="0"/>
              <w:spacing w:line="240" w:lineRule="atLeast"/>
              <w:jc w:val="center"/>
              <w:rPr>
                <w:rFonts w:ascii="仿宋" w:hAnsi="仿宋" w:eastAsia="仿宋" w:cs="仿宋"/>
                <w:szCs w:val="21"/>
              </w:rPr>
            </w:pPr>
          </w:p>
        </w:tc>
        <w:tc>
          <w:tcPr>
            <w:tcW w:w="500" w:type="pct"/>
            <w:shd w:val="clear" w:color="auto" w:fill="auto"/>
            <w:vAlign w:val="center"/>
          </w:tcPr>
          <w:p w14:paraId="30421CB8">
            <w:pPr>
              <w:widowControl/>
              <w:snapToGrid w:val="0"/>
              <w:spacing w:line="240" w:lineRule="atLeast"/>
              <w:jc w:val="center"/>
              <w:rPr>
                <w:rFonts w:hint="eastAsia" w:ascii="仿宋" w:hAnsi="仿宋" w:eastAsia="仿宋" w:cs="仿宋"/>
                <w:color w:val="000000"/>
                <w:kern w:val="0"/>
                <w:szCs w:val="21"/>
                <w:lang w:eastAsia="zh-CN" w:bidi="ar"/>
              </w:rPr>
            </w:pPr>
            <w:r>
              <w:rPr>
                <w:rFonts w:hint="eastAsia" w:ascii="仿宋" w:hAnsi="仿宋" w:eastAsia="仿宋" w:cs="仿宋"/>
                <w:color w:val="000000"/>
                <w:kern w:val="0"/>
                <w:szCs w:val="21"/>
                <w:lang w:val="en-US" w:eastAsia="zh-CN" w:bidi="ar"/>
              </w:rPr>
              <w:t>6</w:t>
            </w:r>
          </w:p>
        </w:tc>
        <w:tc>
          <w:tcPr>
            <w:tcW w:w="1829" w:type="pct"/>
            <w:shd w:val="clear" w:color="auto" w:fill="auto"/>
            <w:vAlign w:val="center"/>
          </w:tcPr>
          <w:p w14:paraId="0C264C1C">
            <w:pPr>
              <w:widowControl/>
              <w:snapToGrid w:val="0"/>
              <w:spacing w:line="240" w:lineRule="atLeast"/>
              <w:jc w:val="left"/>
              <w:rPr>
                <w:rFonts w:ascii="仿宋" w:hAnsi="仿宋" w:eastAsia="仿宋" w:cs="仿宋"/>
                <w:color w:val="000000"/>
                <w:kern w:val="0"/>
                <w:szCs w:val="21"/>
                <w:lang w:bidi="ar"/>
              </w:rPr>
            </w:pPr>
            <w:r>
              <w:rPr>
                <w:rFonts w:hint="eastAsia" w:ascii="仿宋" w:hAnsi="仿宋" w:eastAsia="仿宋" w:cs="仿宋"/>
                <w:color w:val="000000"/>
                <w:kern w:val="0"/>
                <w:szCs w:val="21"/>
                <w:lang w:bidi="ar"/>
              </w:rPr>
              <w:t>建立常态化的评价机制</w:t>
            </w:r>
          </w:p>
        </w:tc>
        <w:tc>
          <w:tcPr>
            <w:tcW w:w="958" w:type="pct"/>
            <w:shd w:val="clear" w:color="auto" w:fill="auto"/>
            <w:vAlign w:val="center"/>
          </w:tcPr>
          <w:p w14:paraId="6E67C089">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质量</w:t>
            </w:r>
          </w:p>
        </w:tc>
        <w:tc>
          <w:tcPr>
            <w:tcW w:w="1200" w:type="pct"/>
            <w:shd w:val="clear" w:color="auto" w:fill="auto"/>
            <w:vAlign w:val="center"/>
          </w:tcPr>
          <w:p w14:paraId="292DA706">
            <w:pPr>
              <w:widowControl/>
              <w:snapToGrid w:val="0"/>
              <w:spacing w:line="240" w:lineRule="atLeast"/>
              <w:jc w:val="left"/>
              <w:rPr>
                <w:rFonts w:ascii="仿宋" w:hAnsi="仿宋" w:eastAsia="仿宋" w:cs="仿宋"/>
                <w:color w:val="000000"/>
                <w:kern w:val="0"/>
                <w:szCs w:val="21"/>
                <w:lang w:bidi="ar"/>
              </w:rPr>
            </w:pPr>
          </w:p>
        </w:tc>
      </w:tr>
      <w:tr w14:paraId="10DCD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11" w:type="pct"/>
            <w:vMerge w:val="continue"/>
            <w:vAlign w:val="center"/>
          </w:tcPr>
          <w:p w14:paraId="30BD33DE">
            <w:pPr>
              <w:snapToGrid w:val="0"/>
              <w:spacing w:line="240" w:lineRule="atLeast"/>
              <w:jc w:val="center"/>
              <w:rPr>
                <w:rFonts w:ascii="仿宋" w:hAnsi="仿宋" w:eastAsia="仿宋" w:cs="仿宋"/>
                <w:szCs w:val="21"/>
              </w:rPr>
            </w:pPr>
          </w:p>
        </w:tc>
        <w:tc>
          <w:tcPr>
            <w:tcW w:w="500" w:type="pct"/>
            <w:shd w:val="clear" w:color="auto" w:fill="auto"/>
            <w:vAlign w:val="center"/>
          </w:tcPr>
          <w:p w14:paraId="5249A516">
            <w:pPr>
              <w:widowControl/>
              <w:snapToGrid w:val="0"/>
              <w:spacing w:line="240" w:lineRule="atLeast"/>
              <w:jc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w:t>
            </w:r>
          </w:p>
        </w:tc>
        <w:tc>
          <w:tcPr>
            <w:tcW w:w="1829" w:type="pct"/>
            <w:vAlign w:val="center"/>
          </w:tcPr>
          <w:p w14:paraId="270A1DF8">
            <w:pPr>
              <w:widowControl/>
              <w:snapToGrid w:val="0"/>
              <w:spacing w:line="240" w:lineRule="atLeast"/>
              <w:jc w:val="left"/>
              <w:rPr>
                <w:rFonts w:ascii="仿宋" w:hAnsi="仿宋" w:eastAsia="仿宋" w:cs="仿宋"/>
                <w:color w:val="000000"/>
                <w:kern w:val="0"/>
                <w:szCs w:val="21"/>
                <w:lang w:bidi="ar"/>
              </w:rPr>
            </w:pPr>
          </w:p>
        </w:tc>
        <w:tc>
          <w:tcPr>
            <w:tcW w:w="958" w:type="pct"/>
            <w:shd w:val="clear" w:color="auto" w:fill="auto"/>
            <w:vAlign w:val="center"/>
          </w:tcPr>
          <w:p w14:paraId="2A30534C">
            <w:pPr>
              <w:widowControl/>
              <w:snapToGrid w:val="0"/>
              <w:spacing w:line="240" w:lineRule="atLeast"/>
              <w:jc w:val="center"/>
              <w:rPr>
                <w:rFonts w:ascii="仿宋" w:hAnsi="仿宋" w:eastAsia="仿宋" w:cs="仿宋"/>
                <w:color w:val="000000"/>
                <w:kern w:val="0"/>
                <w:szCs w:val="21"/>
                <w:lang w:bidi="ar"/>
              </w:rPr>
            </w:pPr>
          </w:p>
        </w:tc>
        <w:tc>
          <w:tcPr>
            <w:tcW w:w="1200" w:type="pct"/>
            <w:shd w:val="clear" w:color="auto" w:fill="auto"/>
            <w:vAlign w:val="center"/>
          </w:tcPr>
          <w:p w14:paraId="7E9A8250">
            <w:pPr>
              <w:widowControl/>
              <w:snapToGrid w:val="0"/>
              <w:spacing w:line="240" w:lineRule="atLeast"/>
              <w:jc w:val="left"/>
              <w:rPr>
                <w:rFonts w:ascii="仿宋" w:hAnsi="仿宋" w:eastAsia="仿宋" w:cs="仿宋"/>
                <w:color w:val="000000"/>
                <w:kern w:val="0"/>
                <w:szCs w:val="21"/>
                <w:lang w:bidi="ar"/>
              </w:rPr>
            </w:pPr>
          </w:p>
        </w:tc>
      </w:tr>
      <w:tr w14:paraId="0F80C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11" w:type="pct"/>
            <w:vAlign w:val="center"/>
          </w:tcPr>
          <w:p w14:paraId="33E9E31E">
            <w:pPr>
              <w:snapToGrid w:val="0"/>
              <w:spacing w:line="240" w:lineRule="atLeast"/>
              <w:jc w:val="center"/>
              <w:rPr>
                <w:rFonts w:ascii="仿宋" w:hAnsi="仿宋" w:eastAsia="仿宋" w:cs="仿宋"/>
                <w:szCs w:val="21"/>
              </w:rPr>
            </w:pPr>
            <w:r>
              <w:rPr>
                <w:rFonts w:hint="eastAsia" w:ascii="仿宋" w:hAnsi="仿宋" w:eastAsia="仿宋" w:cs="仿宋"/>
                <w:szCs w:val="21"/>
              </w:rPr>
              <w:t>XX专业</w:t>
            </w:r>
          </w:p>
        </w:tc>
        <w:tc>
          <w:tcPr>
            <w:tcW w:w="500" w:type="pct"/>
            <w:shd w:val="clear" w:color="auto" w:fill="auto"/>
            <w:vAlign w:val="center"/>
          </w:tcPr>
          <w:p w14:paraId="7949E4E5">
            <w:pPr>
              <w:widowControl/>
              <w:snapToGrid w:val="0"/>
              <w:spacing w:line="240" w:lineRule="atLeast"/>
              <w:jc w:val="left"/>
              <w:rPr>
                <w:rFonts w:ascii="仿宋" w:hAnsi="仿宋" w:eastAsia="仿宋" w:cs="仿宋"/>
                <w:color w:val="000000"/>
                <w:kern w:val="0"/>
                <w:szCs w:val="21"/>
                <w:lang w:bidi="ar"/>
              </w:rPr>
            </w:pPr>
            <w:r>
              <w:rPr>
                <w:rFonts w:hint="eastAsia" w:ascii="仿宋" w:hAnsi="仿宋" w:eastAsia="仿宋" w:cs="仿宋"/>
                <w:color w:val="000000"/>
                <w:kern w:val="0"/>
                <w:szCs w:val="21"/>
                <w:lang w:bidi="ar"/>
              </w:rPr>
              <w:t>...</w:t>
            </w:r>
          </w:p>
        </w:tc>
        <w:tc>
          <w:tcPr>
            <w:tcW w:w="1829" w:type="pct"/>
            <w:vAlign w:val="center"/>
          </w:tcPr>
          <w:p w14:paraId="112391FF">
            <w:pPr>
              <w:widowControl/>
              <w:snapToGrid w:val="0"/>
              <w:spacing w:line="240" w:lineRule="atLeast"/>
              <w:jc w:val="left"/>
              <w:rPr>
                <w:rFonts w:ascii="仿宋" w:hAnsi="仿宋" w:eastAsia="仿宋" w:cs="仿宋"/>
                <w:color w:val="000000"/>
                <w:kern w:val="0"/>
                <w:szCs w:val="21"/>
                <w:lang w:bidi="ar"/>
              </w:rPr>
            </w:pPr>
          </w:p>
        </w:tc>
        <w:tc>
          <w:tcPr>
            <w:tcW w:w="958" w:type="pct"/>
            <w:shd w:val="clear" w:color="auto" w:fill="auto"/>
            <w:vAlign w:val="center"/>
          </w:tcPr>
          <w:p w14:paraId="07B54A36">
            <w:pPr>
              <w:widowControl/>
              <w:snapToGrid w:val="0"/>
              <w:spacing w:line="240" w:lineRule="atLeast"/>
              <w:jc w:val="center"/>
              <w:rPr>
                <w:rFonts w:ascii="仿宋" w:hAnsi="仿宋" w:eastAsia="仿宋" w:cs="仿宋"/>
                <w:color w:val="000000"/>
                <w:kern w:val="0"/>
                <w:szCs w:val="21"/>
                <w:lang w:bidi="ar"/>
              </w:rPr>
            </w:pPr>
          </w:p>
        </w:tc>
        <w:tc>
          <w:tcPr>
            <w:tcW w:w="1200" w:type="pct"/>
            <w:shd w:val="clear" w:color="auto" w:fill="auto"/>
            <w:vAlign w:val="center"/>
          </w:tcPr>
          <w:p w14:paraId="7D533B7A">
            <w:pPr>
              <w:widowControl/>
              <w:snapToGrid w:val="0"/>
              <w:spacing w:line="240" w:lineRule="atLeast"/>
              <w:jc w:val="left"/>
              <w:rPr>
                <w:rFonts w:ascii="仿宋" w:hAnsi="仿宋" w:eastAsia="仿宋" w:cs="仿宋"/>
                <w:color w:val="000000"/>
                <w:kern w:val="0"/>
                <w:szCs w:val="21"/>
                <w:lang w:bidi="ar"/>
              </w:rPr>
            </w:pPr>
          </w:p>
        </w:tc>
      </w:tr>
    </w:tbl>
    <w:p w14:paraId="214B99CE">
      <w:pPr>
        <w:rPr>
          <w:rFonts w:ascii="黑体" w:hAnsi="黑体" w:eastAsia="黑体" w:cs="黑体"/>
          <w:szCs w:val="21"/>
        </w:rPr>
      </w:pPr>
      <w:r>
        <w:rPr>
          <w:rFonts w:hint="eastAsia" w:ascii="黑体" w:hAnsi="黑体" w:eastAsia="黑体" w:cs="黑体"/>
          <w:szCs w:val="21"/>
        </w:rPr>
        <w:t>注：以上指标供参考，带*的指标为必选项。各项目根据研究内容自行确定不少于5项指标，其中质量指标不少于3项。</w:t>
      </w:r>
    </w:p>
    <w:p w14:paraId="53DF7BDA">
      <w:pPr>
        <w:spacing w:before="156" w:beforeLines="50" w:after="156" w:afterLines="50" w:line="520" w:lineRule="exact"/>
        <w:jc w:val="center"/>
        <w:rPr>
          <w:rFonts w:ascii="黑体" w:hAnsi="黑体" w:eastAsia="黑体" w:cs="黑体"/>
          <w:sz w:val="32"/>
          <w:szCs w:val="32"/>
        </w:rPr>
      </w:pPr>
      <w:r>
        <w:rPr>
          <w:rFonts w:hint="eastAsia" w:ascii="黑体" w:hAnsi="黑体" w:eastAsia="黑体" w:cs="黑体"/>
          <w:sz w:val="32"/>
          <w:szCs w:val="32"/>
        </w:rPr>
        <w:t>第二部分 继续教育项目</w:t>
      </w:r>
    </w:p>
    <w:p w14:paraId="6D1D0538">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（一）选题方向</w:t>
      </w:r>
    </w:p>
    <w:p w14:paraId="75C2CAAF">
      <w:pPr>
        <w:spacing w:line="520" w:lineRule="exact"/>
        <w:ind w:firstLine="640"/>
        <w:rPr>
          <w:rFonts w:ascii="仿宋" w:hAnsi="仿宋" w:eastAsia="仿宋" w:cs="仿宋"/>
          <w:sz w:val="32"/>
          <w:szCs w:val="32"/>
        </w:rPr>
      </w:pPr>
      <w:r>
        <w:rPr>
          <w:rFonts w:hint="eastAsia" w:ascii="仿宋" w:hAnsi="仿宋" w:eastAsia="仿宋" w:cs="仿宋"/>
          <w:sz w:val="32"/>
          <w:szCs w:val="32"/>
        </w:rPr>
        <w:t xml:space="preserve">JX01高等继续教育专业建设内涵式发展研究与实践 </w:t>
      </w:r>
    </w:p>
    <w:p w14:paraId="7560C7FD">
      <w:pPr>
        <w:spacing w:line="520" w:lineRule="exact"/>
        <w:ind w:firstLine="640"/>
        <w:rPr>
          <w:rFonts w:ascii="仿宋" w:hAnsi="仿宋" w:eastAsia="仿宋" w:cs="仿宋"/>
          <w:sz w:val="32"/>
          <w:szCs w:val="32"/>
        </w:rPr>
      </w:pPr>
      <w:r>
        <w:rPr>
          <w:rFonts w:hint="eastAsia" w:ascii="仿宋" w:hAnsi="仿宋" w:eastAsia="仿宋" w:cs="仿宋"/>
          <w:sz w:val="32"/>
          <w:szCs w:val="32"/>
        </w:rPr>
        <w:t>JX02</w:t>
      </w:r>
      <w:r>
        <w:rPr>
          <w:rFonts w:ascii="仿宋" w:hAnsi="仿宋" w:eastAsia="仿宋" w:cs="仿宋"/>
          <w:sz w:val="32"/>
          <w:szCs w:val="32"/>
        </w:rPr>
        <w:t xml:space="preserve"> </w:t>
      </w:r>
      <w:r>
        <w:rPr>
          <w:rFonts w:hint="eastAsia" w:ascii="仿宋" w:hAnsi="仿宋" w:eastAsia="仿宋" w:cs="仿宋"/>
          <w:sz w:val="32"/>
          <w:szCs w:val="32"/>
        </w:rPr>
        <w:t xml:space="preserve">高等继续教育人才培养模式改革研究与实践 </w:t>
      </w:r>
    </w:p>
    <w:p w14:paraId="6DEF4B5E">
      <w:pPr>
        <w:spacing w:line="520" w:lineRule="exact"/>
        <w:ind w:firstLine="640"/>
        <w:rPr>
          <w:rFonts w:ascii="仿宋" w:hAnsi="仿宋" w:eastAsia="仿宋" w:cs="仿宋"/>
          <w:sz w:val="32"/>
          <w:szCs w:val="32"/>
        </w:rPr>
      </w:pPr>
      <w:r>
        <w:rPr>
          <w:rFonts w:hint="eastAsia" w:ascii="仿宋" w:hAnsi="仿宋" w:eastAsia="仿宋" w:cs="仿宋"/>
          <w:sz w:val="32"/>
          <w:szCs w:val="32"/>
        </w:rPr>
        <w:t>JX0</w:t>
      </w:r>
      <w:r>
        <w:rPr>
          <w:rFonts w:ascii="仿宋" w:hAnsi="仿宋" w:eastAsia="仿宋" w:cs="仿宋"/>
          <w:sz w:val="32"/>
          <w:szCs w:val="32"/>
        </w:rPr>
        <w:t xml:space="preserve">3 </w:t>
      </w:r>
      <w:r>
        <w:rPr>
          <w:rFonts w:hint="eastAsia" w:ascii="仿宋" w:hAnsi="仿宋" w:eastAsia="仿宋" w:cs="仿宋"/>
          <w:sz w:val="32"/>
          <w:szCs w:val="32"/>
        </w:rPr>
        <w:t xml:space="preserve">高等继续教育学分互认、转换机制研究与实践 </w:t>
      </w:r>
    </w:p>
    <w:p w14:paraId="55654317">
      <w:pPr>
        <w:spacing w:line="520" w:lineRule="exact"/>
        <w:ind w:firstLine="640"/>
        <w:rPr>
          <w:rFonts w:ascii="仿宋" w:hAnsi="仿宋" w:eastAsia="仿宋" w:cs="仿宋"/>
          <w:sz w:val="32"/>
          <w:szCs w:val="32"/>
        </w:rPr>
      </w:pPr>
      <w:r>
        <w:rPr>
          <w:rFonts w:hint="eastAsia" w:ascii="仿宋" w:hAnsi="仿宋" w:eastAsia="仿宋" w:cs="仿宋"/>
          <w:sz w:val="32"/>
          <w:szCs w:val="32"/>
        </w:rPr>
        <w:t>JX0</w:t>
      </w:r>
      <w:r>
        <w:rPr>
          <w:rFonts w:ascii="仿宋" w:hAnsi="仿宋" w:eastAsia="仿宋" w:cs="仿宋"/>
          <w:sz w:val="32"/>
          <w:szCs w:val="32"/>
        </w:rPr>
        <w:t xml:space="preserve">4 </w:t>
      </w:r>
      <w:r>
        <w:rPr>
          <w:rFonts w:hint="eastAsia" w:ascii="仿宋" w:hAnsi="仿宋" w:eastAsia="仿宋" w:cs="仿宋"/>
          <w:sz w:val="32"/>
          <w:szCs w:val="32"/>
        </w:rPr>
        <w:t xml:space="preserve">高等继续教育内部质量评价及保障体系建设与研究 </w:t>
      </w:r>
    </w:p>
    <w:p w14:paraId="709F9FEB">
      <w:pPr>
        <w:spacing w:line="520" w:lineRule="exact"/>
        <w:ind w:firstLine="640"/>
        <w:rPr>
          <w:rFonts w:ascii="仿宋" w:hAnsi="仿宋" w:eastAsia="仿宋" w:cs="仿宋"/>
          <w:sz w:val="32"/>
          <w:szCs w:val="32"/>
        </w:rPr>
      </w:pPr>
      <w:r>
        <w:rPr>
          <w:rFonts w:hint="eastAsia" w:ascii="仿宋" w:hAnsi="仿宋" w:eastAsia="仿宋" w:cs="仿宋"/>
          <w:sz w:val="32"/>
          <w:szCs w:val="32"/>
        </w:rPr>
        <w:t>JX0</w:t>
      </w:r>
      <w:r>
        <w:rPr>
          <w:rFonts w:ascii="仿宋" w:hAnsi="仿宋" w:eastAsia="仿宋" w:cs="仿宋"/>
          <w:sz w:val="32"/>
          <w:szCs w:val="32"/>
        </w:rPr>
        <w:t xml:space="preserve">5 </w:t>
      </w:r>
      <w:r>
        <w:rPr>
          <w:rFonts w:hint="eastAsia" w:ascii="仿宋" w:hAnsi="仿宋" w:eastAsia="仿宋" w:cs="仿宋"/>
          <w:sz w:val="32"/>
          <w:szCs w:val="32"/>
        </w:rPr>
        <w:t xml:space="preserve">高等继续教育校外教学点建设与管理体制机制研究 </w:t>
      </w:r>
    </w:p>
    <w:p w14:paraId="0CD3989C">
      <w:pPr>
        <w:spacing w:line="520" w:lineRule="exact"/>
        <w:ind w:firstLine="640"/>
        <w:rPr>
          <w:rFonts w:ascii="仿宋" w:hAnsi="仿宋" w:eastAsia="仿宋" w:cs="仿宋"/>
          <w:sz w:val="32"/>
          <w:szCs w:val="32"/>
        </w:rPr>
      </w:pPr>
      <w:r>
        <w:rPr>
          <w:rFonts w:hint="eastAsia" w:ascii="仿宋" w:hAnsi="仿宋" w:eastAsia="仿宋" w:cs="仿宋"/>
          <w:sz w:val="32"/>
          <w:szCs w:val="32"/>
        </w:rPr>
        <w:t>JX0</w:t>
      </w:r>
      <w:r>
        <w:rPr>
          <w:rFonts w:ascii="仿宋" w:hAnsi="仿宋" w:eastAsia="仿宋" w:cs="仿宋"/>
          <w:sz w:val="32"/>
          <w:szCs w:val="32"/>
        </w:rPr>
        <w:t xml:space="preserve">6 </w:t>
      </w:r>
      <w:r>
        <w:rPr>
          <w:rFonts w:hint="eastAsia" w:ascii="仿宋" w:hAnsi="仿宋" w:eastAsia="仿宋" w:cs="仿宋"/>
          <w:sz w:val="32"/>
          <w:szCs w:val="32"/>
        </w:rPr>
        <w:t>高等继续教育课程思政建设与研究</w:t>
      </w:r>
    </w:p>
    <w:p w14:paraId="0CFA2B04">
      <w:pPr>
        <w:spacing w:line="520" w:lineRule="exact"/>
        <w:ind w:firstLine="640" w:firstLineChars="200"/>
        <w:rPr>
          <w:rFonts w:ascii="楷体" w:hAnsi="楷体" w:eastAsia="楷体" w:cs="楷体"/>
          <w:sz w:val="32"/>
          <w:szCs w:val="32"/>
        </w:rPr>
      </w:pPr>
      <w:r>
        <w:rPr>
          <w:rFonts w:hint="eastAsia" w:ascii="楷体" w:hAnsi="楷体" w:eastAsia="楷体" w:cs="楷体"/>
          <w:sz w:val="32"/>
          <w:szCs w:val="32"/>
        </w:rPr>
        <w:t>（二）预期成果</w:t>
      </w:r>
    </w:p>
    <w:p w14:paraId="005E3E72">
      <w:pPr>
        <w:spacing w:line="520" w:lineRule="exact"/>
        <w:ind w:firstLine="640"/>
        <w:rPr>
          <w:rFonts w:ascii="仿宋" w:hAnsi="仿宋" w:eastAsia="仿宋" w:cs="仿宋"/>
          <w:sz w:val="32"/>
          <w:szCs w:val="32"/>
        </w:rPr>
      </w:pPr>
      <w:r>
        <w:rPr>
          <w:rFonts w:hint="eastAsia" w:ascii="仿宋" w:hAnsi="仿宋" w:eastAsia="仿宋" w:cs="仿宋"/>
          <w:sz w:val="32"/>
          <w:szCs w:val="32"/>
        </w:rPr>
        <w:t>参照本科项目相应等级项目的考核指标执行。</w:t>
      </w:r>
    </w:p>
    <w:sectPr>
      <w:pgSz w:w="11906" w:h="16838"/>
      <w:pgMar w:top="1383"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5D863E-B132-472F-8C98-7B95B8D36A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CF316E1D-56C1-4A07-A0AD-2FDC9002010E}"/>
  </w:font>
  <w:font w:name="方正小标宋简体">
    <w:panose1 w:val="02000000000000000000"/>
    <w:charset w:val="86"/>
    <w:family w:val="script"/>
    <w:pitch w:val="default"/>
    <w:sig w:usb0="00000001" w:usb1="080E0000" w:usb2="00000000" w:usb3="00000000" w:csb0="00040000" w:csb1="00000000"/>
    <w:embedRegular r:id="rId3" w:fontKey="{0AC8B758-4B96-4CDB-A251-B14D336B9074}"/>
  </w:font>
  <w:font w:name="楷体">
    <w:panose1 w:val="02010609060101010101"/>
    <w:charset w:val="86"/>
    <w:family w:val="modern"/>
    <w:pitch w:val="default"/>
    <w:sig w:usb0="800002BF" w:usb1="38CF7CFA" w:usb2="00000016" w:usb3="00000000" w:csb0="00040001" w:csb1="00000000"/>
    <w:embedRegular r:id="rId4" w:fontKey="{D3E64FBD-7FBC-4815-9507-ED84045AA18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0CB4A"/>
    <w:multiLevelType w:val="singleLevel"/>
    <w:tmpl w:val="8C90CB4A"/>
    <w:lvl w:ilvl="0" w:tentative="0">
      <w:start w:val="3"/>
      <w:numFmt w:val="chineseCounting"/>
      <w:suff w:val="nothing"/>
      <w:lvlText w:val="（%1）"/>
      <w:lvlJc w:val="left"/>
      <w:rPr>
        <w:rFonts w:hint="eastAsia"/>
      </w:rPr>
    </w:lvl>
  </w:abstractNum>
  <w:abstractNum w:abstractNumId="1">
    <w:nsid w:val="9DDFD83C"/>
    <w:multiLevelType w:val="singleLevel"/>
    <w:tmpl w:val="9DDFD83C"/>
    <w:lvl w:ilvl="0" w:tentative="0">
      <w:start w:val="1"/>
      <w:numFmt w:val="chineseCounting"/>
      <w:suff w:val="nothing"/>
      <w:lvlText w:val="%1、"/>
      <w:lvlJc w:val="left"/>
      <w:pPr>
        <w:ind w:left="-1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A64B3F"/>
    <w:rsid w:val="001C3826"/>
    <w:rsid w:val="00267CF3"/>
    <w:rsid w:val="005537B4"/>
    <w:rsid w:val="005642C7"/>
    <w:rsid w:val="008244E3"/>
    <w:rsid w:val="00BF72D4"/>
    <w:rsid w:val="00BF7BDF"/>
    <w:rsid w:val="00C2555B"/>
    <w:rsid w:val="00C264B3"/>
    <w:rsid w:val="00C5344D"/>
    <w:rsid w:val="00C577A3"/>
    <w:rsid w:val="00FC1B6A"/>
    <w:rsid w:val="01484AF5"/>
    <w:rsid w:val="055E32F7"/>
    <w:rsid w:val="06430142"/>
    <w:rsid w:val="06F55595"/>
    <w:rsid w:val="08065580"/>
    <w:rsid w:val="0858512E"/>
    <w:rsid w:val="0883113F"/>
    <w:rsid w:val="08B53F7B"/>
    <w:rsid w:val="095811DE"/>
    <w:rsid w:val="0A5A4A69"/>
    <w:rsid w:val="0B30303F"/>
    <w:rsid w:val="0D0F4ED6"/>
    <w:rsid w:val="0DED61F3"/>
    <w:rsid w:val="11816503"/>
    <w:rsid w:val="12667095"/>
    <w:rsid w:val="18504D21"/>
    <w:rsid w:val="19710FE0"/>
    <w:rsid w:val="1AE03D00"/>
    <w:rsid w:val="1C1E03D1"/>
    <w:rsid w:val="1F5E41C7"/>
    <w:rsid w:val="1F664E2A"/>
    <w:rsid w:val="207F3C59"/>
    <w:rsid w:val="215C054B"/>
    <w:rsid w:val="216C3B90"/>
    <w:rsid w:val="21FE759C"/>
    <w:rsid w:val="22EB0D17"/>
    <w:rsid w:val="30E66C4C"/>
    <w:rsid w:val="320E11BD"/>
    <w:rsid w:val="33D06DBF"/>
    <w:rsid w:val="349F33D2"/>
    <w:rsid w:val="35A0755E"/>
    <w:rsid w:val="36CE02A2"/>
    <w:rsid w:val="373A6BF4"/>
    <w:rsid w:val="375241BA"/>
    <w:rsid w:val="37A022C3"/>
    <w:rsid w:val="38854B55"/>
    <w:rsid w:val="38940A5B"/>
    <w:rsid w:val="3A287454"/>
    <w:rsid w:val="3AB53D1B"/>
    <w:rsid w:val="3E3A575D"/>
    <w:rsid w:val="3E751F56"/>
    <w:rsid w:val="3F8629B7"/>
    <w:rsid w:val="40FB6D89"/>
    <w:rsid w:val="430342E4"/>
    <w:rsid w:val="43382201"/>
    <w:rsid w:val="43AF0E2C"/>
    <w:rsid w:val="44A64B3F"/>
    <w:rsid w:val="4540092C"/>
    <w:rsid w:val="4C515850"/>
    <w:rsid w:val="4D8E11BF"/>
    <w:rsid w:val="502B2D1F"/>
    <w:rsid w:val="51D610EC"/>
    <w:rsid w:val="51F37EF0"/>
    <w:rsid w:val="53025410"/>
    <w:rsid w:val="57D918BC"/>
    <w:rsid w:val="5ACB7C5C"/>
    <w:rsid w:val="5D1D4073"/>
    <w:rsid w:val="5F192375"/>
    <w:rsid w:val="65C02AED"/>
    <w:rsid w:val="670562A3"/>
    <w:rsid w:val="6A050368"/>
    <w:rsid w:val="6D655CEE"/>
    <w:rsid w:val="6F653A31"/>
    <w:rsid w:val="6F7B5A03"/>
    <w:rsid w:val="702E5C87"/>
    <w:rsid w:val="712E294F"/>
    <w:rsid w:val="73D5720C"/>
    <w:rsid w:val="74D84C59"/>
    <w:rsid w:val="770B26BA"/>
    <w:rsid w:val="771D4F43"/>
    <w:rsid w:val="79C93160"/>
    <w:rsid w:val="7A3251AA"/>
    <w:rsid w:val="7A326F58"/>
    <w:rsid w:val="7D276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b/>
      <w:bCs/>
      <w:kern w:val="0"/>
      <w:sz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3"/>
    <w:next w:val="3"/>
    <w:link w:val="16"/>
    <w:semiHidden/>
    <w:unhideWhenUsed/>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annotation reference"/>
    <w:basedOn w:val="10"/>
    <w:qFormat/>
    <w:uiPriority w:val="0"/>
    <w:rPr>
      <w:sz w:val="21"/>
      <w:szCs w:val="21"/>
    </w:rPr>
  </w:style>
  <w:style w:type="character" w:customStyle="1" w:styleId="13">
    <w:name w:val="页眉 字符"/>
    <w:basedOn w:val="10"/>
    <w:link w:val="5"/>
    <w:qFormat/>
    <w:uiPriority w:val="0"/>
    <w:rPr>
      <w:kern w:val="2"/>
      <w:sz w:val="18"/>
      <w:szCs w:val="18"/>
    </w:rPr>
  </w:style>
  <w:style w:type="character" w:customStyle="1" w:styleId="14">
    <w:name w:val="页脚 字符"/>
    <w:basedOn w:val="10"/>
    <w:link w:val="4"/>
    <w:qFormat/>
    <w:uiPriority w:val="0"/>
    <w:rPr>
      <w:kern w:val="2"/>
      <w:sz w:val="18"/>
      <w:szCs w:val="18"/>
    </w:rPr>
  </w:style>
  <w:style w:type="character" w:customStyle="1" w:styleId="15">
    <w:name w:val="批注文字 字符"/>
    <w:basedOn w:val="10"/>
    <w:link w:val="3"/>
    <w:qFormat/>
    <w:uiPriority w:val="0"/>
    <w:rPr>
      <w:kern w:val="2"/>
      <w:sz w:val="21"/>
      <w:szCs w:val="24"/>
    </w:rPr>
  </w:style>
  <w:style w:type="character" w:customStyle="1" w:styleId="16">
    <w:name w:val="批注主题 字符"/>
    <w:basedOn w:val="15"/>
    <w:link w:val="7"/>
    <w:semiHidden/>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3445</Words>
  <Characters>3565</Characters>
  <Lines>26</Lines>
  <Paragraphs>7</Paragraphs>
  <TotalTime>11</TotalTime>
  <ScaleCrop>false</ScaleCrop>
  <LinksUpToDate>false</LinksUpToDate>
  <CharactersWithSpaces>3578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2025-10-09T16:39:00Z</dcterms:created>
  <dc:creator>Administrator</dc:creator>
  <cp:lastModifiedBy>   </cp:lastModifiedBy>
  <cp:lastPrinted>2025-10-11T08:18:00Z</cp:lastPrinted>
  <dcterms:modified xsi:type="dcterms:W3CDTF">2025-10-11T08:54:22Z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443FA38B43374F08AEEED4BB6C3B57D1_11</vt:lpwstr>
  </property>
  <property fmtid="{D5CDD505-2E9C-101B-9397-08002B2CF9AE}" pid="4" name="KSOTemplateDocerSaveRecord">
    <vt:lpwstr>eyJoZGlkIjoiYTVmYzNjODcxNDM2MGJmMTlhZDVmNGZmYWIzZDUyMDkiLCJ1c2VySWQiOiIyODYxOTExOTAifQ==</vt:lpwstr>
  </property>
</Properties>
</file>